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Internal Privacy Policy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{{ matters[i].org.name.text }}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Trading name: {{ matters[i].org.trading_name }}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Address: {{ matters[i].org.address.block() }}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Privacy contact email: {{ matters[i].org.contact_email }}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Matter Reference: {{ matters[i].matter_ref }}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Date: {{ today() }}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This Internal Privacy Policy sets out, for internal use, the full operational detail of how {{ matters[i].org.name.text }} processes personal data, together with the playbooks staff should follow for regulator inquiries, data subject requests, and security incidents. The consumer-facing summary of this information is published separately as the Privacy Statement.</w:t>
      </w:r>
    </w:p>
    <w:p>
      <w:pPr>
        <w:pStyle w:val="Heading2"/>
      </w:pPr>
      <w:r>
        <w:t xml:space="preserve">1. Processing Activities</w:t>
      </w:r>
    </w:p>
    <w:p>
      <w:pPr>
        <w:spacing w:after="80"/>
      </w:pPr>
      <w:r>
        <w:rPr>
          <w:rFonts w:ascii="Consolas" w:cs="Consolas" w:eastAsia="Consolas" w:hAnsi="Consolas"/>
          <w:color w:val="808080"/>
          <w:sz w:val="18"/>
          <w:szCs w:val="18"/>
        </w:rPr>
        <w:t xml:space="preserve">{%p for a in matters[i].processing_activities %}</w:t>
      </w:r>
    </w:p>
    <w:p>
      <w:pPr>
        <w:pStyle w:val="Heading3"/>
      </w:pPr>
      <w:r>
        <w:t xml:space="preserve">{{ a.name }}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{{ a.description }}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Purposes: {% for p in a.purposes.true_values() %}{{ p }}{% endfor %}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Data categories: {% for c in a.data_categories.true_values() %}{{ c }}{% endfor %}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Data subject categories: {% for s in a.data_subject_categories.true_values() %}{{ s }}{% endfor %}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Recipients: {% for r in a.recipients %}{{ r.name }} ({{ r.category }}){% endfor %}</w:t>
      </w:r>
    </w:p>
    <w:p>
      <w:pPr>
        <w:spacing w:after="80"/>
      </w:pPr>
      <w:r>
        <w:rPr>
          <w:rFonts w:ascii="Consolas" w:cs="Consolas" w:eastAsia="Consolas" w:hAnsi="Consolas"/>
          <w:color w:val="808080"/>
          <w:sz w:val="18"/>
          <w:szCs w:val="18"/>
        </w:rPr>
        <w:t xml:space="preserve">{%p if a.international_transfer %}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International transfer mechanism(s): {% for m in a.transfer_mechanism.true_values() %}{{ m }}{% endfor %}</w:t>
      </w:r>
    </w:p>
    <w:p>
      <w:pPr>
        <w:spacing w:after="80"/>
      </w:pPr>
      <w:r>
        <w:rPr>
          <w:rFonts w:ascii="Consolas" w:cs="Consolas" w:eastAsia="Consolas" w:hAnsi="Consolas"/>
          <w:color w:val="808080"/>
          <w:sz w:val="18"/>
          <w:szCs w:val="18"/>
        </w:rPr>
        <w:t xml:space="preserve">{%p endif %}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Retention period: {{ a.retention_period }}</w:t>
      </w:r>
    </w:p>
    <w:p>
      <w:pPr>
        <w:spacing w:after="80"/>
      </w:pPr>
      <w:r>
        <w:rPr>
          <w:rFonts w:ascii="Consolas" w:cs="Consolas" w:eastAsia="Consolas" w:hAnsi="Consolas"/>
          <w:color w:val="808080"/>
          <w:sz w:val="18"/>
          <w:szCs w:val="18"/>
        </w:rPr>
        <w:t xml:space="preserve">{%p if matters[i].confirmed_jurisdictions['GDPR'] %}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Lawful basis: {% for lb in a.lawful_basis.true_values() %}{{ lb }}{% endfor %}</w:t>
      </w:r>
    </w:p>
    <w:p>
      <w:pPr>
        <w:spacing w:after="80"/>
      </w:pPr>
      <w:r>
        <w:rPr>
          <w:rFonts w:ascii="Consolas" w:cs="Consolas" w:eastAsia="Consolas" w:hAnsi="Consolas"/>
          <w:color w:val="808080"/>
          <w:sz w:val="18"/>
          <w:szCs w:val="18"/>
        </w:rPr>
        <w:t xml:space="preserve">{%p endif %}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Security measures: {% for sm in a.security_measures.true_values() %}{{ sm }}{% endfor %}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High-risk (DPIA required): {{ 'Yes' if a.is_high_risk else 'No' }}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Relies on legitimate interest (LIA required): {{ 'Yes' if a.relies_on_legitimate_interest else 'No' }}</w:t>
      </w:r>
    </w:p>
    <w:p>
      <w:pPr>
        <w:spacing w:after="80"/>
      </w:pPr>
      <w:r>
        <w:rPr>
          <w:rFonts w:ascii="Consolas" w:cs="Consolas" w:eastAsia="Consolas" w:hAnsi="Consolas"/>
          <w:color w:val="808080"/>
          <w:sz w:val="18"/>
          <w:szCs w:val="18"/>
        </w:rPr>
        <w:t xml:space="preserve">{%p endfor %}</w:t>
      </w:r>
    </w:p>
    <w:p>
      <w:pPr>
        <w:pStyle w:val="Heading2"/>
      </w:pPr>
      <w:r>
        <w:t xml:space="preserve">2. Vendor and System Inventory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The table below lists every system and vendor that receives or processes personal data on the organisation's behalf.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2960"/>
        <w:gridCol w:w="240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System / Vendor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Category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Hosting Location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DPA in Place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</w:rPr>
              <w:t xml:space="preserve">{%tr for sys in matters[i].systems %}{{ sys.name }}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{{ sys.category }}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{{ sys.hosting_location }}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{{ 'Yes' if sys.dpa_in_place else 'No' }}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</w:rPr>
              <w:t xml:space="preserve">{%tr endfor %}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pStyle w:val="Heading2"/>
      </w:pPr>
      <w:r>
        <w:t xml:space="preserve">3. Regulator, Data Subject Request, and Breach Playbooks</w:t>
      </w:r>
    </w:p>
    <w:p>
      <w:pPr>
        <w:pStyle w:val="Heading3"/>
      </w:pPr>
      <w:r>
        <w:t xml:space="preserve">Regulator Inquiries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Internal contact for regulator inquiries: {{ matters[i].playbooks.regulator_contact }}</w:t>
      </w:r>
    </w:p>
    <w:p>
      <w:pPr>
        <w:pStyle w:val="Heading3"/>
      </w:pPr>
      <w:r>
        <w:t xml:space="preserve">Data Subject Requests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Intake channel: {{ matters[i].playbooks.dsr_intake_channel }}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Process detail: {{ matters[i].playbooks.dsr_intake_detail }}</w:t>
      </w:r>
    </w:p>
    <w:p>
      <w:pPr>
        <w:pStyle w:val="Heading3"/>
      </w:pPr>
      <w:r>
        <w:t xml:space="preserve">Data Breach Response</w:t>
      </w:r>
    </w:p>
    <w:p>
      <w:pPr>
        <w:spacing w:after="80"/>
      </w:pPr>
      <w:r>
        <w:rPr>
          <w:rFonts w:ascii="Consolas" w:cs="Consolas" w:eastAsia="Consolas" w:hAnsi="Consolas"/>
          <w:color w:val="808080"/>
          <w:sz w:val="18"/>
          <w:szCs w:val="18"/>
        </w:rPr>
        <w:t xml:space="preserve">{%p if matters[i].playbooks.breach_counsel_retained %}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Breach counsel / forensics firm: {{ matters[i].playbooks.breach_counsel_name }}</w:t>
      </w:r>
    </w:p>
    <w:p>
      <w:pPr>
        <w:spacing w:after="80"/>
      </w:pPr>
      <w:r>
        <w:rPr>
          <w:rFonts w:ascii="Consolas" w:cs="Consolas" w:eastAsia="Consolas" w:hAnsi="Consolas"/>
          <w:color w:val="808080"/>
          <w:sz w:val="18"/>
          <w:szCs w:val="18"/>
        </w:rPr>
        <w:t xml:space="preserve">{%p endif %}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Internal breach escalation contact: {{ matters[i].playbooks.breach_escalation_contact }}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Per-state breach notification requirements: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560"/>
        <w:gridCol w:w="2800"/>
        <w:gridCol w:w="260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State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Statute Citation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Notification Deadline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AG Notice Threshold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</w:rPr>
              <w:t xml:space="preserve">{%tr for req in matters[i].playbooks.breach_requirements %}{{ req['state'] }}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{{ req['statute_citation'] }}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{{ req['notification_deadline'] }}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{{ req['ag_notice_threshold'] }}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</w:rPr>
              <w:t xml:space="preserve">{%tr endfor %}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1A1A1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60"/>
      <w:outlineLvl w:val="1"/>
    </w:pPr>
    <w:rPr>
      <w:rFonts w:ascii="Arial" w:cs="Arial" w:eastAsia="Arial" w:hAnsi="Arial"/>
      <w:b/>
      <w:bCs/>
      <w:color w:val="1A1A1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i/>
      <w:iCs/>
      <w:color w:val="1A1A1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2026-07-06T23:16:04.923Z</dcterms:created>
  <dcterms:modified xsi:type="dcterms:W3CDTF">2026-07-06T23:16:04.923Z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