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Privacy Statement</w:t>
      </w:r>
    </w:p>
    <w:p>
      <w:pPr>
        <w:spacing w:after="160"/>
      </w:pPr>
      <w:r>
        <w:rPr>
          <w:b w:val="false"/>
          <w:bCs w:val="false"/>
          <w:i w:val="false"/>
          <w:iCs w:val="false"/>
        </w:rPr>
        <w:t xml:space="preserve">{{ matters[i].org.name.text }}</w:t>
      </w:r>
    </w:p>
    <w:p>
      <w:pPr>
        <w:spacing w:after="160"/>
      </w:pPr>
      <w:r>
        <w:rPr>
          <w:b w:val="false"/>
          <w:bCs w:val="false"/>
          <w:i w:val="false"/>
          <w:iCs w:val="false"/>
        </w:rPr>
        <w:t xml:space="preserve">Trading name: {{ matters[i].org.trading_name }}</w:t>
      </w:r>
    </w:p>
    <w:p>
      <w:pPr>
        <w:spacing w:after="160"/>
      </w:pPr>
      <w:r>
        <w:rPr>
          <w:b w:val="false"/>
          <w:bCs w:val="false"/>
          <w:i w:val="false"/>
          <w:iCs w:val="false"/>
        </w:rPr>
        <w:t xml:space="preserve">Address: {{ matters[i].org.address.block() }}</w:t>
      </w:r>
    </w:p>
    <w:p>
      <w:pPr>
        <w:spacing w:after="160"/>
      </w:pPr>
      <w:r>
        <w:rPr>
          <w:b w:val="false"/>
          <w:bCs w:val="false"/>
          <w:i w:val="false"/>
          <w:iCs w:val="false"/>
        </w:rPr>
        <w:t xml:space="preserve">Contact email: {{ matters[i].org.contact_email }}</w:t>
      </w:r>
    </w:p>
    <w:p>
      <w:pPr>
        <w:spacing w:after="160"/>
      </w:pPr>
      <w:r>
        <w:rPr>
          <w:b w:val="false"/>
          <w:bCs w:val="false"/>
          <w:i w:val="false"/>
          <w:iCs w:val="false"/>
        </w:rPr>
        <w:t xml:space="preserve">Website: {{ matters[i].org.website }}</w:t>
      </w:r>
    </w:p>
    <w:p>
      <w:pPr>
        <w:spacing w:after="160"/>
      </w:pPr>
      <w:r>
        <w:rPr>
          <w:b w:val="false"/>
          <w:bCs w:val="false"/>
          <w:i w:val="false"/>
          <w:iCs w:val="false"/>
        </w:rPr>
        <w:t xml:space="preserve">Last updated: {{ today() }}</w:t>
      </w:r>
    </w:p>
    <w:p>
      <w:pPr>
        <w:spacing w:after="160"/>
      </w:pPr>
      <w:r>
        <w:rPr>
          <w:b w:val="false"/>
          <w:bCs w:val="false"/>
          <w:i w:val="false"/>
          <w:iCs w:val="false"/>
        </w:rPr>
        <w:t xml:space="preserve">This Privacy Statement explains how we collect, use, and share personal information, and describes the privacy rights available to you under the laws that apply to our processing.</w:t>
      </w:r>
    </w:p>
    <w:p>
      <w:pPr>
        <w:spacing w:after="80"/>
      </w:pPr>
      <w:r>
        <w:rPr>
          <w:rFonts w:ascii="Consolas" w:cs="Consolas" w:eastAsia="Consolas" w:hAnsi="Consolas"/>
          <w:color w:val="808080"/>
          <w:sz w:val="18"/>
          <w:szCs w:val="18"/>
        </w:rPr>
        <w:t xml:space="preserve">{%p if matters[i].confirmed_jurisdictions['GDPR'] %}</w:t>
      </w:r>
    </w:p>
    <w:p>
      <w:pPr>
        <w:pStyle w:val="Heading2"/>
      </w:pPr>
      <w:r>
        <w:t xml:space="preserve">European Union / United Kingdom (GDPR)</w:t>
      </w:r>
    </w:p>
    <w:p>
      <w:pPr>
        <w:spacing w:after="80"/>
      </w:pPr>
      <w:r>
        <w:rPr>
          <w:rFonts w:ascii="Consolas" w:cs="Consolas" w:eastAsia="Consolas" w:hAnsi="Consolas"/>
          <w:color w:val="808080"/>
          <w:sz w:val="18"/>
          <w:szCs w:val="18"/>
        </w:rPr>
        <w:t xml:space="preserve">{%p if matters[i].gdpr.include_consent_clause %}</w:t>
      </w:r>
    </w:p>
    <w:p>
      <w:pPr>
        <w:spacing w:after="160"/>
      </w:pPr>
      <w:r>
        <w:rPr>
          <w:b w:val="false"/>
          <w:bCs w:val="false"/>
          <w:i w:val="false"/>
          <w:iCs w:val="false"/>
        </w:rPr>
        <w:t xml:space="preserve">Where we rely on your consent as the lawful basis for processing, we will only process your personal data for the purposes to which you have consented, and you may withdraw that consent at any time.</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matters[i].gdpr.include_legitimate_interests_clause %}</w:t>
      </w:r>
    </w:p>
    <w:p>
      <w:pPr>
        <w:spacing w:after="160"/>
      </w:pPr>
      <w:r>
        <w:rPr>
          <w:b w:val="false"/>
          <w:bCs w:val="false"/>
          <w:i w:val="false"/>
          <w:iCs w:val="false"/>
        </w:rPr>
        <w:t xml:space="preserve">Where we rely on our legitimate interests as the lawful basis for processing, we have carried out a balancing assessment to confirm that our interests are not overridden by your interests or fundamental rights and freedoms.</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matters[i].gdpr.include_special_category_clause %}</w:t>
      </w:r>
    </w:p>
    <w:p>
      <w:pPr>
        <w:spacing w:after="160"/>
      </w:pPr>
      <w:r>
        <w:rPr>
          <w:b w:val="false"/>
          <w:bCs w:val="false"/>
          <w:i w:val="false"/>
          <w:iCs w:val="false"/>
        </w:rPr>
        <w:t xml:space="preserve">Where we process special category data about you, we do so only where an additional condition under Article 9 GDPR is satisfied, such as your explicit consent or another applicable legal basis.</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matters[i].gdpr.include_international_transfer_clause %}</w:t>
      </w:r>
    </w:p>
    <w:p>
      <w:pPr>
        <w:spacing w:after="160"/>
      </w:pPr>
      <w:r>
        <w:rPr>
          <w:b w:val="false"/>
          <w:bCs w:val="false"/>
          <w:i w:val="false"/>
          <w:iCs w:val="false"/>
        </w:rPr>
        <w:t xml:space="preserve">Where we transfer your personal data outside the European Economic Area or United Kingdom, we do so using the following safeguard(s):</w:t>
      </w:r>
    </w:p>
    <w:p>
      <w:pPr>
        <w:spacing w:after="80"/>
      </w:pPr>
      <w:r>
        <w:rPr>
          <w:rFonts w:ascii="Consolas" w:cs="Consolas" w:eastAsia="Consolas" w:hAnsi="Consolas"/>
          <w:color w:val="808080"/>
          <w:sz w:val="18"/>
          <w:szCs w:val="18"/>
        </w:rPr>
        <w:t xml:space="preserve">{%p for m in matters[i].gdpr.transfer_mechanisms_reference %}</w:t>
      </w:r>
    </w:p>
    <w:p>
      <w:pPr>
        <w:spacing w:after="160"/>
      </w:pPr>
      <w:r>
        <w:rPr>
          <w:b w:val="false"/>
          <w:bCs w:val="false"/>
          <w:i w:val="false"/>
          <w:iCs w:val="false"/>
        </w:rPr>
        <w:t xml:space="preserve">{{ m }}</w:t>
      </w:r>
    </w:p>
    <w:p>
      <w:pPr>
        <w:spacing w:after="80"/>
      </w:pPr>
      <w:r>
        <w:rPr>
          <w:rFonts w:ascii="Consolas" w:cs="Consolas" w:eastAsia="Consolas" w:hAnsi="Consolas"/>
          <w:color w:val="808080"/>
          <w:sz w:val="18"/>
          <w:szCs w:val="18"/>
        </w:rPr>
        <w:t xml:space="preserve">{%p endfor %}</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matters[i].gdpr.include_dpo_section %}</w:t>
      </w:r>
    </w:p>
    <w:p>
      <w:pPr>
        <w:spacing w:after="160"/>
      </w:pPr>
      <w:r>
        <w:rPr>
          <w:b w:val="false"/>
          <w:bCs w:val="false"/>
          <w:i w:val="false"/>
          <w:iCs w:val="false"/>
        </w:rPr>
        <w:t xml:space="preserve">Data Protection Officer: {{ matters[i].gdpr.dpo.name.full() }}</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matters[i].gdpr.include_children_clause %}</w:t>
      </w:r>
    </w:p>
    <w:p>
      <w:pPr>
        <w:spacing w:after="160"/>
      </w:pPr>
      <w:r>
        <w:rPr>
          <w:b w:val="false"/>
          <w:bCs w:val="false"/>
          <w:i w:val="false"/>
          <w:iCs w:val="false"/>
        </w:rPr>
        <w:t xml:space="preserve">We take particular care when processing personal data relating to children and apply additional safeguards where required by law.</w:t>
      </w:r>
    </w:p>
    <w:p>
      <w:pPr>
        <w:spacing w:after="80"/>
      </w:pPr>
      <w:r>
        <w:rPr>
          <w:rFonts w:ascii="Consolas" w:cs="Consolas" w:eastAsia="Consolas" w:hAnsi="Consolas"/>
          <w:color w:val="808080"/>
          <w:sz w:val="18"/>
          <w:szCs w:val="18"/>
        </w:rPr>
        <w:t xml:space="preserve">{%p endif %}</w:t>
      </w:r>
    </w:p>
    <w:p>
      <w:pPr>
        <w:spacing w:after="160"/>
      </w:pPr>
      <w:r>
        <w:rPr>
          <w:b w:val="false"/>
          <w:bCs w:val="false"/>
          <w:i w:val="false"/>
          <w:iCs w:val="false"/>
        </w:rPr>
        <w:t xml:space="preserve">Your rights under the GDPR include:</w:t>
      </w:r>
    </w:p>
    <w:p>
      <w:pPr>
        <w:spacing w:after="80"/>
      </w:pPr>
      <w:r>
        <w:rPr>
          <w:rFonts w:ascii="Consolas" w:cs="Consolas" w:eastAsia="Consolas" w:hAnsi="Consolas"/>
          <w:color w:val="808080"/>
          <w:sz w:val="18"/>
          <w:szCs w:val="18"/>
        </w:rPr>
        <w:t xml:space="preserve">{%p for r in matters[i].gdpr.applicable_rights %}</w:t>
      </w:r>
    </w:p>
    <w:p>
      <w:pPr>
        <w:spacing w:after="160"/>
      </w:pPr>
      <w:r>
        <w:rPr>
          <w:b w:val="false"/>
          <w:bCs w:val="false"/>
          <w:i w:val="false"/>
          <w:iCs w:val="false"/>
        </w:rPr>
        <w:t xml:space="preserve">{{ r['right'] }} ({{ r['article'] }}): {{ r['description'] }}</w:t>
      </w:r>
    </w:p>
    <w:p>
      <w:pPr>
        <w:spacing w:after="80"/>
      </w:pPr>
      <w:r>
        <w:rPr>
          <w:rFonts w:ascii="Consolas" w:cs="Consolas" w:eastAsia="Consolas" w:hAnsi="Consolas"/>
          <w:color w:val="808080"/>
          <w:sz w:val="18"/>
          <w:szCs w:val="18"/>
        </w:rPr>
        <w:t xml:space="preserve">{%p endfor %}</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matters[i].confirmed_jurisdictions['CCPA/CPRA'] %}</w:t>
      </w:r>
    </w:p>
    <w:p>
      <w:pPr>
        <w:pStyle w:val="Heading2"/>
      </w:pPr>
      <w:r>
        <w:t xml:space="preserve">California (CCPA/CPRA)</w:t>
      </w:r>
    </w:p>
    <w:p>
      <w:pPr>
        <w:spacing w:after="80"/>
      </w:pPr>
      <w:r>
        <w:rPr>
          <w:rFonts w:ascii="Consolas" w:cs="Consolas" w:eastAsia="Consolas" w:hAnsi="Consolas"/>
          <w:color w:val="808080"/>
          <w:sz w:val="18"/>
          <w:szCs w:val="18"/>
        </w:rPr>
        <w:t xml:space="preserve">{%p if matters[i].ccpa.include_opt_out_section %}</w:t>
      </w:r>
    </w:p>
    <w:p>
      <w:pPr>
        <w:spacing w:after="160"/>
      </w:pPr>
      <w:r>
        <w:rPr>
          <w:b w:val="false"/>
          <w:bCs w:val="false"/>
          <w:i w:val="false"/>
          <w:iCs w:val="false"/>
        </w:rPr>
        <w:t xml:space="preserve">You have the right to opt out of the sale or sharing of your personal information for cross-context behavioral advertising.</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matters[i].ccpa.include_spi_section %}</w:t>
      </w:r>
    </w:p>
    <w:p>
      <w:pPr>
        <w:spacing w:after="160"/>
      </w:pPr>
      <w:r>
        <w:rPr>
          <w:b w:val="false"/>
          <w:bCs w:val="false"/>
          <w:i w:val="false"/>
          <w:iCs w:val="false"/>
        </w:rPr>
        <w:t xml:space="preserve">We collect the following categories of sensitive personal information:</w:t>
      </w:r>
    </w:p>
    <w:p>
      <w:pPr>
        <w:spacing w:after="80"/>
      </w:pPr>
      <w:r>
        <w:rPr>
          <w:rFonts w:ascii="Consolas" w:cs="Consolas" w:eastAsia="Consolas" w:hAnsi="Consolas"/>
          <w:color w:val="808080"/>
          <w:sz w:val="18"/>
          <w:szCs w:val="18"/>
        </w:rPr>
        <w:t xml:space="preserve">{%p for c in matters[i].ccpa.sensitive_pi_categories_reference %}</w:t>
      </w:r>
    </w:p>
    <w:p>
      <w:pPr>
        <w:spacing w:after="160"/>
      </w:pPr>
      <w:r>
        <w:rPr>
          <w:b w:val="false"/>
          <w:bCs w:val="false"/>
          <w:i w:val="false"/>
          <w:iCs w:val="false"/>
        </w:rPr>
        <w:t xml:space="preserve">{{ c }}</w:t>
      </w:r>
    </w:p>
    <w:p>
      <w:pPr>
        <w:spacing w:after="80"/>
      </w:pPr>
      <w:r>
        <w:rPr>
          <w:rFonts w:ascii="Consolas" w:cs="Consolas" w:eastAsia="Consolas" w:hAnsi="Consolas"/>
          <w:color w:val="808080"/>
          <w:sz w:val="18"/>
          <w:szCs w:val="18"/>
        </w:rPr>
        <w:t xml:space="preserve">{%p endfor %}</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matters[i].ccpa.include_spi_limit_link %}</w:t>
      </w:r>
    </w:p>
    <w:p>
      <w:pPr>
        <w:spacing w:after="160"/>
      </w:pPr>
      <w:r>
        <w:rPr>
          <w:b w:val="false"/>
          <w:bCs w:val="false"/>
          <w:i w:val="false"/>
          <w:iCs w:val="false"/>
        </w:rPr>
        <w:t xml:space="preserve">You may limit our use of your sensitive personal information by visiting: Limit the Use of My Sensitive Personal Information.</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matters[i].ccpa.include_gpc_notice %}</w:t>
      </w:r>
    </w:p>
    <w:p>
      <w:pPr>
        <w:spacing w:after="160"/>
      </w:pPr>
      <w:r>
        <w:rPr>
          <w:b w:val="false"/>
          <w:bCs w:val="false"/>
          <w:i w:val="false"/>
          <w:iCs w:val="false"/>
        </w:rPr>
        <w:t xml:space="preserve">We honor the Global Privacy Control (GPC) signal as a valid opt-out-of-sale/sharing request.</w:t>
      </w:r>
    </w:p>
    <w:p>
      <w:pPr>
        <w:spacing w:after="80"/>
      </w:pPr>
      <w:r>
        <w:rPr>
          <w:rFonts w:ascii="Consolas" w:cs="Consolas" w:eastAsia="Consolas" w:hAnsi="Consolas"/>
          <w:color w:val="808080"/>
          <w:sz w:val="18"/>
          <w:szCs w:val="18"/>
        </w:rPr>
        <w:t xml:space="preserve">{%p endif %}</w:t>
      </w:r>
    </w:p>
    <w:p>
      <w:pPr>
        <w:spacing w:after="160"/>
      </w:pPr>
      <w:r>
        <w:rPr>
          <w:b w:val="false"/>
          <w:bCs w:val="false"/>
          <w:i w:val="false"/>
          <w:iCs w:val="false"/>
        </w:rPr>
        <w:t xml:space="preserve">Your rights under the CCPA/CPRA include:</w:t>
      </w:r>
    </w:p>
    <w:p>
      <w:pPr>
        <w:spacing w:after="80"/>
      </w:pPr>
      <w:r>
        <w:rPr>
          <w:rFonts w:ascii="Consolas" w:cs="Consolas" w:eastAsia="Consolas" w:hAnsi="Consolas"/>
          <w:color w:val="808080"/>
          <w:sz w:val="18"/>
          <w:szCs w:val="18"/>
        </w:rPr>
        <w:t xml:space="preserve">{%p for r in matters[i].ccpa.applicable_rights %}</w:t>
      </w:r>
    </w:p>
    <w:p>
      <w:pPr>
        <w:spacing w:after="160"/>
      </w:pPr>
      <w:r>
        <w:rPr>
          <w:b w:val="false"/>
          <w:bCs w:val="false"/>
          <w:i w:val="false"/>
          <w:iCs w:val="false"/>
        </w:rPr>
        <w:t xml:space="preserve">{{ r['right'] }}: {{ r['description'] }}</w:t>
      </w:r>
    </w:p>
    <w:p>
      <w:pPr>
        <w:spacing w:after="80"/>
      </w:pPr>
      <w:r>
        <w:rPr>
          <w:rFonts w:ascii="Consolas" w:cs="Consolas" w:eastAsia="Consolas" w:hAnsi="Consolas"/>
          <w:color w:val="808080"/>
          <w:sz w:val="18"/>
          <w:szCs w:val="18"/>
        </w:rPr>
        <w:t xml:space="preserve">{%p endfor %}</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matters[i].confirmed_jurisdictions['TDPSA'] %}</w:t>
      </w:r>
    </w:p>
    <w:p>
      <w:pPr>
        <w:pStyle w:val="Heading2"/>
      </w:pPr>
      <w:r>
        <w:t xml:space="preserve">Texas (TDPSA)</w:t>
      </w:r>
    </w:p>
    <w:p>
      <w:pPr>
        <w:spacing w:after="80"/>
      </w:pPr>
      <w:r>
        <w:rPr>
          <w:rFonts w:ascii="Consolas" w:cs="Consolas" w:eastAsia="Consolas" w:hAnsi="Consolas"/>
          <w:color w:val="808080"/>
          <w:sz w:val="18"/>
          <w:szCs w:val="18"/>
        </w:rPr>
        <w:t xml:space="preserve">{%p if matters[i].tdpsa.include_opt_out_section %}</w:t>
      </w:r>
    </w:p>
    <w:p>
      <w:pPr>
        <w:spacing w:after="160"/>
      </w:pPr>
      <w:r>
        <w:rPr>
          <w:b w:val="false"/>
          <w:bCs w:val="false"/>
          <w:i w:val="false"/>
          <w:iCs w:val="false"/>
        </w:rPr>
        <w:t xml:space="preserve">You have the right to opt out of targeted advertising, the sale of your personal data, and profiling in furtherance of decisions that produce legal or similarly significant effects.</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matters[i].tdpsa.include_uoom_notice %}</w:t>
      </w:r>
    </w:p>
    <w:p>
      <w:pPr>
        <w:spacing w:after="160"/>
      </w:pPr>
      <w:r>
        <w:rPr>
          <w:b w:val="false"/>
          <w:bCs w:val="false"/>
          <w:i w:val="false"/>
          <w:iCs w:val="false"/>
        </w:rPr>
        <w:t xml:space="preserve">We support the use of a universal opt-out mechanism to exercise your opt-out rights.</w:t>
      </w:r>
    </w:p>
    <w:p>
      <w:pPr>
        <w:spacing w:after="80"/>
      </w:pPr>
      <w:r>
        <w:rPr>
          <w:rFonts w:ascii="Consolas" w:cs="Consolas" w:eastAsia="Consolas" w:hAnsi="Consolas"/>
          <w:color w:val="808080"/>
          <w:sz w:val="18"/>
          <w:szCs w:val="18"/>
        </w:rPr>
        <w:t xml:space="preserve">{%p endif %}</w:t>
      </w:r>
    </w:p>
    <w:p>
      <w:pPr>
        <w:spacing w:after="160"/>
      </w:pPr>
      <w:r>
        <w:rPr>
          <w:b w:val="false"/>
          <w:bCs w:val="false"/>
          <w:i w:val="false"/>
          <w:iCs w:val="false"/>
        </w:rPr>
        <w:t xml:space="preserve">Your rights under the TDPSA include:</w:t>
      </w:r>
    </w:p>
    <w:p>
      <w:pPr>
        <w:spacing w:after="80"/>
      </w:pPr>
      <w:r>
        <w:rPr>
          <w:rFonts w:ascii="Consolas" w:cs="Consolas" w:eastAsia="Consolas" w:hAnsi="Consolas"/>
          <w:color w:val="808080"/>
          <w:sz w:val="18"/>
          <w:szCs w:val="18"/>
        </w:rPr>
        <w:t xml:space="preserve">{%p for r in matters[i].tdpsa.applicable_rights %}</w:t>
      </w:r>
    </w:p>
    <w:p>
      <w:pPr>
        <w:spacing w:after="160"/>
      </w:pPr>
      <w:r>
        <w:rPr>
          <w:b w:val="false"/>
          <w:bCs w:val="false"/>
          <w:i w:val="false"/>
          <w:iCs w:val="false"/>
        </w:rPr>
        <w:t xml:space="preserve">{{ r['right'] }}: {{ r['description'] }}</w:t>
      </w:r>
    </w:p>
    <w:p>
      <w:pPr>
        <w:spacing w:after="80"/>
      </w:pPr>
      <w:r>
        <w:rPr>
          <w:rFonts w:ascii="Consolas" w:cs="Consolas" w:eastAsia="Consolas" w:hAnsi="Consolas"/>
          <w:color w:val="808080"/>
          <w:sz w:val="18"/>
          <w:szCs w:val="18"/>
        </w:rPr>
        <w:t xml:space="preserve">{%p endfor %}</w:t>
      </w:r>
    </w:p>
    <w:p>
      <w:pPr>
        <w:spacing w:after="160"/>
      </w:pPr>
      <w:r>
        <w:rPr>
          <w:b w:val="false"/>
          <w:bCs w:val="false"/>
          <w:i w:val="false"/>
          <w:iCs w:val="false"/>
        </w:rPr>
        <w:t xml:space="preserve">Sensitive data categories we may collect:</w:t>
      </w:r>
    </w:p>
    <w:p>
      <w:pPr>
        <w:spacing w:after="80"/>
      </w:pPr>
      <w:r>
        <w:rPr>
          <w:rFonts w:ascii="Consolas" w:cs="Consolas" w:eastAsia="Consolas" w:hAnsi="Consolas"/>
          <w:color w:val="808080"/>
          <w:sz w:val="18"/>
          <w:szCs w:val="18"/>
        </w:rPr>
        <w:t xml:space="preserve">{%p for c in matters[i].tdpsa.sensitive_data_categories_reference %}</w:t>
      </w:r>
    </w:p>
    <w:p>
      <w:pPr>
        <w:spacing w:after="160"/>
      </w:pPr>
      <w:r>
        <w:rPr>
          <w:b w:val="false"/>
          <w:bCs w:val="false"/>
          <w:i w:val="false"/>
          <w:iCs w:val="false"/>
        </w:rPr>
        <w:t xml:space="preserve">{{ c }}</w:t>
      </w:r>
    </w:p>
    <w:p>
      <w:pPr>
        <w:spacing w:after="80"/>
      </w:pPr>
      <w:r>
        <w:rPr>
          <w:rFonts w:ascii="Consolas" w:cs="Consolas" w:eastAsia="Consolas" w:hAnsi="Consolas"/>
          <w:color w:val="808080"/>
          <w:sz w:val="18"/>
          <w:szCs w:val="18"/>
        </w:rPr>
        <w:t xml:space="preserve">{%p endfor %}</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matters[i].confirmed_jurisdictions['VCDPA'] %}</w:t>
      </w:r>
    </w:p>
    <w:p>
      <w:pPr>
        <w:pStyle w:val="Heading2"/>
      </w:pPr>
      <w:r>
        <w:t xml:space="preserve">Virginia (VCDPA)</w:t>
      </w:r>
    </w:p>
    <w:p>
      <w:pPr>
        <w:spacing w:after="80"/>
      </w:pPr>
      <w:r>
        <w:rPr>
          <w:rFonts w:ascii="Consolas" w:cs="Consolas" w:eastAsia="Consolas" w:hAnsi="Consolas"/>
          <w:color w:val="808080"/>
          <w:sz w:val="18"/>
          <w:szCs w:val="18"/>
        </w:rPr>
        <w:t xml:space="preserve">{%p if matters[i].vcdpa.include_opt_out_section %}</w:t>
      </w:r>
    </w:p>
    <w:p>
      <w:pPr>
        <w:spacing w:after="160"/>
      </w:pPr>
      <w:r>
        <w:rPr>
          <w:b w:val="false"/>
          <w:bCs w:val="false"/>
          <w:i w:val="false"/>
          <w:iCs w:val="false"/>
        </w:rPr>
        <w:t xml:space="preserve">You have the right to opt out of targeted advertising, the sale of your personal data, and profiling.</w:t>
      </w:r>
    </w:p>
    <w:p>
      <w:pPr>
        <w:spacing w:after="80"/>
      </w:pPr>
      <w:r>
        <w:rPr>
          <w:rFonts w:ascii="Consolas" w:cs="Consolas" w:eastAsia="Consolas" w:hAnsi="Consolas"/>
          <w:color w:val="808080"/>
          <w:sz w:val="18"/>
          <w:szCs w:val="18"/>
        </w:rPr>
        <w:t xml:space="preserve">{%p endif %}</w:t>
      </w:r>
    </w:p>
    <w:p>
      <w:pPr>
        <w:spacing w:after="80"/>
      </w:pPr>
      <w:r>
        <w:rPr>
          <w:rFonts w:ascii="Consolas" w:cs="Consolas" w:eastAsia="Consolas" w:hAnsi="Consolas"/>
          <w:color w:val="808080"/>
          <w:sz w:val="18"/>
          <w:szCs w:val="18"/>
        </w:rPr>
        <w:t xml:space="preserve">{%p if matters[i].vcdpa.include_sensitive_data_section %}</w:t>
      </w:r>
    </w:p>
    <w:p>
      <w:pPr>
        <w:spacing w:after="160"/>
      </w:pPr>
      <w:r>
        <w:rPr>
          <w:b w:val="false"/>
          <w:bCs w:val="false"/>
          <w:i w:val="false"/>
          <w:iCs w:val="false"/>
        </w:rPr>
        <w:t xml:space="preserve">Where applicable, we obtain your consent before processing sensitive data, which may include:</w:t>
      </w:r>
    </w:p>
    <w:p>
      <w:pPr>
        <w:spacing w:after="80"/>
      </w:pPr>
      <w:r>
        <w:rPr>
          <w:rFonts w:ascii="Consolas" w:cs="Consolas" w:eastAsia="Consolas" w:hAnsi="Consolas"/>
          <w:color w:val="808080"/>
          <w:sz w:val="18"/>
          <w:szCs w:val="18"/>
        </w:rPr>
        <w:t xml:space="preserve">{%p for c in matters[i].vcdpa.sensitive_data_categories_reference %}</w:t>
      </w:r>
    </w:p>
    <w:p>
      <w:pPr>
        <w:spacing w:after="160"/>
      </w:pPr>
      <w:r>
        <w:rPr>
          <w:b w:val="false"/>
          <w:bCs w:val="false"/>
          <w:i w:val="false"/>
          <w:iCs w:val="false"/>
        </w:rPr>
        <w:t xml:space="preserve">{{ c }}</w:t>
      </w:r>
    </w:p>
    <w:p>
      <w:pPr>
        <w:spacing w:after="80"/>
      </w:pPr>
      <w:r>
        <w:rPr>
          <w:rFonts w:ascii="Consolas" w:cs="Consolas" w:eastAsia="Consolas" w:hAnsi="Consolas"/>
          <w:color w:val="808080"/>
          <w:sz w:val="18"/>
          <w:szCs w:val="18"/>
        </w:rPr>
        <w:t xml:space="preserve">{%p endfor %}</w:t>
      </w:r>
    </w:p>
    <w:p>
      <w:pPr>
        <w:spacing w:after="80"/>
      </w:pPr>
      <w:r>
        <w:rPr>
          <w:rFonts w:ascii="Consolas" w:cs="Consolas" w:eastAsia="Consolas" w:hAnsi="Consolas"/>
          <w:color w:val="808080"/>
          <w:sz w:val="18"/>
          <w:szCs w:val="18"/>
        </w:rPr>
        <w:t xml:space="preserve">{%p endif %}</w:t>
      </w:r>
    </w:p>
    <w:p>
      <w:pPr>
        <w:spacing w:after="160"/>
      </w:pPr>
      <w:r>
        <w:rPr>
          <w:b w:val="false"/>
          <w:bCs w:val="false"/>
          <w:i w:val="false"/>
          <w:iCs w:val="false"/>
        </w:rPr>
        <w:t xml:space="preserve">Your rights under the VCDPA include:</w:t>
      </w:r>
    </w:p>
    <w:p>
      <w:pPr>
        <w:spacing w:after="80"/>
      </w:pPr>
      <w:r>
        <w:rPr>
          <w:rFonts w:ascii="Consolas" w:cs="Consolas" w:eastAsia="Consolas" w:hAnsi="Consolas"/>
          <w:color w:val="808080"/>
          <w:sz w:val="18"/>
          <w:szCs w:val="18"/>
        </w:rPr>
        <w:t xml:space="preserve">{%p for r in matters[i].vcdpa.applicable_rights %}</w:t>
      </w:r>
    </w:p>
    <w:p>
      <w:pPr>
        <w:spacing w:after="160"/>
      </w:pPr>
      <w:r>
        <w:rPr>
          <w:b w:val="false"/>
          <w:bCs w:val="false"/>
          <w:i w:val="false"/>
          <w:iCs w:val="false"/>
        </w:rPr>
        <w:t xml:space="preserve">{{ r['right'] }}: {{ r['description'] }}</w:t>
      </w:r>
    </w:p>
    <w:p>
      <w:pPr>
        <w:spacing w:after="80"/>
      </w:pPr>
      <w:r>
        <w:rPr>
          <w:rFonts w:ascii="Consolas" w:cs="Consolas" w:eastAsia="Consolas" w:hAnsi="Consolas"/>
          <w:color w:val="808080"/>
          <w:sz w:val="18"/>
          <w:szCs w:val="18"/>
        </w:rPr>
        <w:t xml:space="preserve">{%p endfor %}</w:t>
      </w:r>
    </w:p>
    <w:p>
      <w:pPr>
        <w:spacing w:after="80"/>
      </w:pPr>
      <w:r>
        <w:rPr>
          <w:rFonts w:ascii="Consolas" w:cs="Consolas" w:eastAsia="Consolas" w:hAnsi="Consolas"/>
          <w:color w:val="808080"/>
          <w:sz w:val="18"/>
          <w:szCs w:val="18"/>
        </w:rPr>
        <w:t xml:space="preserve">{%p endif %}</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240"/>
      <w:outlineLvl w:val="0"/>
    </w:pPr>
    <w:rPr>
      <w:rFonts w:ascii="Arial" w:cs="Arial" w:eastAsia="Arial" w:hAnsi="Arial"/>
      <w:b/>
      <w:bCs/>
      <w:color w:val="1A1A1A"/>
      <w:sz w:val="32"/>
      <w:szCs w:val="32"/>
    </w:rPr>
  </w:style>
  <w:style w:type="paragraph" w:styleId="Heading2">
    <w:name w:val="Heading 2"/>
    <w:basedOn w:val="Normal"/>
    <w:next w:val="Normal"/>
    <w:qFormat/>
    <w:pPr>
      <w:spacing w:after="140" w:before="260"/>
      <w:outlineLvl w:val="1"/>
    </w:pPr>
    <w:rPr>
      <w:rFonts w:ascii="Arial" w:cs="Arial" w:eastAsia="Arial" w:hAnsi="Arial"/>
      <w:b/>
      <w:bCs/>
      <w:color w:val="1A1A1A"/>
      <w:sz w:val="26"/>
      <w:szCs w:val="26"/>
    </w:rPr>
  </w:style>
  <w:style w:type="paragraph" w:styleId="Heading3">
    <w:name w:val="Heading 3"/>
    <w:basedOn w:val="Normal"/>
    <w:next w:val="Normal"/>
    <w:qFormat/>
    <w:pPr>
      <w:spacing w:after="100" w:before="200"/>
      <w:outlineLvl w:val="2"/>
    </w:pPr>
    <w:rPr>
      <w:rFonts w:ascii="Arial" w:cs="Arial" w:eastAsia="Arial" w:hAnsi="Arial"/>
      <w:b/>
      <w:bCs/>
      <w:i/>
      <w:iCs/>
      <w:color w:val="1A1A1A"/>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2026-07-06T23:16:05.119Z</dcterms:created>
  <dcterms:modified xsi:type="dcterms:W3CDTF">2026-07-06T23:16:05.119Z</dcterms:modified>
</cp:coreProperties>
</file>

<file path=docProps/custom.xml><?xml version="1.0" encoding="utf-8"?>
<Properties xmlns="http://schemas.openxmlformats.org/officeDocument/2006/custom-properties" xmlns:vt="http://schemas.openxmlformats.org/officeDocument/2006/docPropsVTypes"/>
</file>