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Internal Privacy Policy</w:t>
      </w:r>
    </w:p>
    <w:p>
      <w:pPr>
        <w:spacing w:after="160"/>
      </w:pPr>
      <w:r>
        <w:rPr>
          <w:b w:val="false"/>
          <w:bCs w:val="false"/>
          <w:i w:val="false"/>
          <w:iCs w:val="false"/>
        </w:rPr>
        <w:t xml:space="preserve">{{ matters[i].org.name.text }}</w:t>
      </w:r>
    </w:p>
    <w:p>
      <w:pPr>
        <w:spacing w:after="160"/>
      </w:pPr>
      <w:r>
        <w:rPr>
          <w:b w:val="false"/>
          <w:bCs w:val="false"/>
          <w:i w:val="false"/>
          <w:iCs w:val="false"/>
        </w:rPr>
        <w:t xml:space="preserve">Trading name: {{ matters[i].org.trading_name }}</w:t>
      </w:r>
    </w:p>
    <w:p>
      <w:pPr>
        <w:spacing w:after="160"/>
      </w:pPr>
      <w:r>
        <w:rPr>
          <w:b w:val="false"/>
          <w:bCs w:val="false"/>
          <w:i w:val="false"/>
          <w:iCs w:val="false"/>
        </w:rPr>
        <w:t xml:space="preserve">Address: {{ matters[i].org.address.block() }}</w:t>
      </w:r>
    </w:p>
    <w:p>
      <w:pPr>
        <w:spacing w:after="160"/>
      </w:pPr>
      <w:r>
        <w:rPr>
          <w:b w:val="false"/>
          <w:bCs w:val="false"/>
          <w:i w:val="false"/>
          <w:iCs w:val="false"/>
        </w:rPr>
        <w:t xml:space="preserve">Privacy contact email: {{ matters[i].org.contact_email }}</w:t>
      </w:r>
    </w:p>
    <w:p>
      <w:pPr>
        <w:spacing w:after="160"/>
      </w:pPr>
      <w:r>
        <w:rPr>
          <w:b w:val="false"/>
          <w:bCs w:val="false"/>
          <w:i w:val="false"/>
          <w:iCs w:val="false"/>
        </w:rPr>
        <w:t xml:space="preserve">Matter Reference: {{ matters[i].matter_ref }}</w:t>
      </w:r>
    </w:p>
    <w:p>
      <w:pPr>
        <w:spacing w:after="160"/>
      </w:pPr>
      <w:r>
        <w:rPr>
          <w:b w:val="false"/>
          <w:bCs w:val="false"/>
          <w:i w:val="false"/>
          <w:iCs w:val="false"/>
        </w:rPr>
        <w:t xml:space="preserve">Date: {{ today() }}</w:t>
      </w:r>
    </w:p>
    <w:p>
      <w:pPr>
        <w:spacing w:after="160"/>
      </w:pPr>
      <w:r>
        <w:rPr>
          <w:b w:val="false"/>
          <w:bCs w:val="false"/>
          <w:i w:val="false"/>
          <w:iCs w:val="false"/>
        </w:rPr>
        <w:t xml:space="preserve">This Internal Privacy Policy sets out, for internal use, the full operational detail of how {{ matters[i].org.name.text }} processes personal data, together with the playbooks staff should follow for regulator inquiries, data subject requests, and security incidents. The consumer-facing summary of this information is published separately as the Privacy Statement.</w:t>
      </w:r>
    </w:p>
    <w:p>
      <w:pPr>
        <w:pStyle w:val="Heading2"/>
      </w:pPr>
      <w:r>
        <w:t>1. Lawful Basis &amp; Documentation</w:t>
      </w:r>
    </w:p>
    <w:p>
      <w:r>
        <w:t>We should only collect data that we need to have. Under Europe's GDPR, a lawful basis is required to possess or process personal information about people. This section describes the data that we collect and the category that best describes why we have it. If necessary, it will point to Section 9's assessments for privacy impacts and/or legitimate interest.</w:t>
      </w:r>
    </w:p>
    <w:p>
      <w:pPr>
        <w:pStyle w:val="Heading2"/>
      </w:pPr>
      <w:r>
        <w:t>2. Notices &amp; Consent</w:t>
      </w:r>
    </w:p>
    <w:p>
      <w:r>
        <w:t>A cornerstone of good privacy practices is notification &amp; consent. While not every jurisdiction requires consent before collecting or processing personal information, there are rules concerning how we disclose to people that we collect and process their personal information. This section lays that out.</w:t>
      </w:r>
    </w:p>
    <w:p>
      <w:pPr>
        <w:pStyle w:val="Heading2"/>
      </w:pPr>
      <w:r>
        <w:t>3. Data Subject / Consumer Rights Procedures</w:t>
      </w:r>
    </w:p>
    <w:p>
      <w:r>
        <w:t>Rights are not rights unless they can be exercised. This section describes how data subjects can request the information that we hold about them and request that the information be corrected or deleted and our processes for handling those requests.</w:t>
      </w:r>
    </w:p>
    <w:p>
      <w:pPr>
        <w:pStyle w:val="Heading3"/>
      </w:pPr>
      <w:r>
        <w:t xml:space="preserve">Regulator Inquiries</w:t>
      </w:r>
    </w:p>
    <w:p>
      <w:pPr>
        <w:spacing w:after="160"/>
      </w:pPr>
      <w:r>
        <w:rPr>
          <w:b w:val="false"/>
          <w:bCs w:val="false"/>
          <w:i w:val="false"/>
          <w:iCs w:val="false"/>
        </w:rPr>
        <w:t xml:space="preserve">Internal contact for regulator inquiries: {{ matters[i].playbooks.regulator_contact }}</w:t>
      </w:r>
    </w:p>
    <w:p>
      <w:pPr>
        <w:pStyle w:val="Heading3"/>
      </w:pPr>
      <w:r>
        <w:t xml:space="preserve">Data Subject Requests</w:t>
      </w:r>
    </w:p>
    <w:p>
      <w:pPr>
        <w:spacing w:after="160"/>
      </w:pPr>
      <w:r>
        <w:rPr>
          <w:b w:val="false"/>
          <w:bCs w:val="false"/>
          <w:i w:val="false"/>
          <w:iCs w:val="false"/>
        </w:rPr>
        <w:t xml:space="preserve">Intake channel: {{ matters[i].playbooks.dsr_intake_channel }}</w:t>
      </w:r>
    </w:p>
    <w:p>
      <w:pPr>
        <w:spacing w:after="160"/>
      </w:pPr>
      <w:r>
        <w:rPr>
          <w:b w:val="false"/>
          <w:bCs w:val="false"/>
          <w:i w:val="false"/>
          <w:iCs w:val="false"/>
        </w:rPr>
        <w:t xml:space="preserve">Process detail: {{ matters[i].playbooks.dsr_intake_detail }}</w:t>
      </w:r>
    </w:p>
    <w:p>
      <w:pPr>
        <w:pStyle w:val="Heading2"/>
      </w:pPr>
      <w:r>
        <w:t>4. Retention</w:t>
      </w:r>
    </w:p>
    <w:p>
      <w:r>
        <w:t>Old data is as bad as incorrect data. The longer that we hold onto information, the more likely it is to be incorrect. This section specifies how long we retain information about data subjects.</w:t>
      </w:r>
    </w:p>
    <w:p>
      <w:pPr>
        <w:pStyle w:val="Heading2"/>
      </w:pPr>
      <w:r>
        <w:t>5. Vendor &amp; DPA Management</w:t>
      </w:r>
    </w:p>
    <w:p>
      <w:r>
        <w:t>We depend on vendors and contractors to help us meet our business obligations. Sometimes we need them to help us gather, store, and/or process the personal information that we hold. This section lists them along with disclosing whether a data processing agreement exists.</w:t>
      </w:r>
    </w:p>
    <w:p>
      <w:r>
        <w:t>We need to eventually expand this to include policies for interviewees who are data processors instead of data controllers.</w:t>
      </w:r>
    </w:p>
    <w:p>
      <w:pPr>
        <w:spacing w:after="160"/>
      </w:pPr>
      <w:r>
        <w:rPr>
          <w:b w:val="false"/>
          <w:bCs w:val="false"/>
          <w:i w:val="false"/>
          <w:iCs w:val="false"/>
        </w:rPr>
        <w:t xml:space="preserve">The table below lists every system and vendor that receives or processes personal data on the organisation's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960"/>
        <w:gridCol w:w="2400"/>
      </w:tblGrid>
      <w:tr>
        <w:trPr>
          <w:tblHeader/>
        </w:trPr>
        <w:tc>
          <w:tcPr>
            <w:tcW w:type="dxa" w:w="22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System / Vendor</w:t>
            </w:r>
          </w:p>
        </w:tc>
        <w:tc>
          <w:tcPr>
            <w:tcW w:type="dxa" w:w="1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Category</w:t>
            </w:r>
          </w:p>
        </w:tc>
        <w:tc>
          <w:tcPr>
            <w:tcW w:type="dxa" w:w="296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Hosting Location</w:t>
            </w:r>
          </w:p>
        </w:tc>
        <w:tc>
          <w:tcPr>
            <w:tcW w:type="dxa" w:w="24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DPA in Place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{%tr for sys in matters[i].systems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sys.name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sys.category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sys.hosting_location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'Yes' if sys.dpa_in_place else 'No'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808080"/>
              </w:rPr>
              <w:t xml:space="preserve">{%tr endfor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bl>
    <w:p>
      <w:pPr>
        <w:pStyle w:val="Heading2"/>
      </w:pPr>
      <w:r>
        <w:t>6. Breach Response</w:t>
      </w:r>
    </w:p>
    <w:p>
      <w:r>
        <w:t>We recognize that, despite our best efforts, there is always a chance that we could suffer a systems breach that impacts our data. This section outlines our plans and timelines for handling a breach, should one occur.</w:t>
      </w:r>
    </w:p>
    <w:p>
      <w:pPr>
        <w:pStyle w:val="Heading3"/>
      </w:pPr>
      <w:r>
        <w:t>Response Contacts</w:t>
      </w:r>
    </w:p>
    <w:p>
      <w:pPr>
        <w:spacing w:after="80"/>
      </w:pPr>
      <w:r>
        <w:rPr>
          <w:rFonts w:ascii="Consolas" w:cs="Consolas" w:eastAsia="Consolas" w:hAnsi="Consolas"/>
          <w:color w:val="808080"/>
          <w:sz w:val="18"/>
          <w:szCs w:val="18"/>
        </w:rPr>
        <w:t xml:space="preserve">{%p if matters[i].playbooks.breach_counsel_retained %}</w:t>
      </w:r>
    </w:p>
    <w:p>
      <w:pPr>
        <w:spacing w:after="160"/>
      </w:pPr>
      <w:r>
        <w:rPr>
          <w:b w:val="false"/>
          <w:bCs w:val="false"/>
          <w:i w:val="false"/>
          <w:iCs w:val="false"/>
        </w:rPr>
        <w:t xml:space="preserve">Breach counsel / forensics firm: {{ matters[i].playbooks.breach_counsel_name }}</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Internal breach escalation contact: {{ matters[i].playbooks.breach_escalation_contact }}</w:t>
      </w:r>
    </w:p>
    <w:p>
      <w:pPr>
        <w:spacing w:after="160"/>
      </w:pPr>
      <w:r>
        <w:rPr>
          <w:b w:val="false"/>
          <w:bCs w:val="false"/>
          <w:i w:val="false"/>
          <w:iCs w:val="false"/>
        </w:rPr>
        <w:t xml:space="preserve">Per-state breach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800"/>
        <w:gridCol w:w="2600"/>
      </w:tblGrid>
      <w:tr>
        <w:trPr>
          <w:tblHeader/>
        </w:trPr>
        <w:tc>
          <w:tcPr>
            <w:tcW w:type="dxa" w:w="14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State</w:t>
            </w:r>
          </w:p>
        </w:tc>
        <w:tc>
          <w:tcPr>
            <w:tcW w:type="dxa" w:w="256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Statute Citation</w:t>
            </w:r>
          </w:p>
        </w:tc>
        <w:tc>
          <w:tcPr>
            <w:tcW w:type="dxa" w:w="2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Notification Deadline</w:t>
            </w:r>
          </w:p>
        </w:tc>
        <w:tc>
          <w:tcPr>
            <w:tcW w:type="dxa" w:w="26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AG Notice Threshold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{%tr for req in matters[i].playbooks.breach_requirements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req['state']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req['statute_citation'] }}</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req['notification_deadline'] }}</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req['ag_notice_threshold']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808080"/>
              </w:rPr>
              <w:t xml:space="preserve">{%tr endfor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bl>
    <w:p>
      <w:pPr>
        <w:pStyle w:val="Heading2"/>
      </w:pPr>
      <w:r>
        <w:t>7. Security Program</w:t>
      </w:r>
    </w:p>
    <w:p>
      <w:r>
        <w:t>This section describes how we keep data secure while it is in our possession.</w:t>
      </w:r>
    </w:p>
    <w:p>
      <w:pPr>
        <w:pStyle w:val="Heading2"/>
      </w:pPr>
      <w:r>
        <w:t>8. Staff Training</w:t>
      </w:r>
    </w:p>
    <w:p>
      <w:r>
        <w:t>Training employees about privacy is essential for several reasons. First and foremost, it fosters a culture of data protection within our organization. By educating employees about privacy principles and our legal obligations, they become more conscious of their roles and responsibilities in safeguarding personal data.</w:t>
      </w:r>
    </w:p>
    <w:p>
      <w:r>
        <w:t>Secondly, privacy training helps employees understand the potential risks and consequences of data breaches. By highlighting the financial and reputational damage that can result from non-compliance, employees become more vigilant and proactive in protecting personal data. Additionally, privacy training helps us meet our legal obligations. Thus, any employees handling personal data must be adequately trained in data protection. By providing comprehensive training, we can demonstrate our commitment to compliance and mitigate the risk of penalties and fines.</w:t>
      </w:r>
    </w:p>
    <w:p>
      <w:pPr>
        <w:pStyle w:val="Heading2"/>
      </w:pPr>
      <w:r>
        <w:t>9. Assessments (DPIA/LIA)</w:t>
      </w:r>
    </w:p>
    <w:p>
      <w:r>
        <w:t>Assessments identify risk before an activity is deployed or scaled, document the legal basis relied on where that basis is legitimate interest rather than consent, and produce the record regulators and auditors expect for higher-risk processing under GDPR and applicable US state privacy laws. Assessments should be periodically reviewed to ensure that they continue to be accurate.</w:t>
      </w:r>
    </w:p>
    <w:p>
      <w:pPr>
        <w:pStyle w:val="Heading2"/>
      </w:pPr>
      <w:r>
        <w:t>10. Recordkeeping / RoPA</w:t>
      </w:r>
    </w:p>
    <w:p>
      <w:r>
        <w:t>The Register of Processing Activities is the heart of the privacy program. It provides a comprehensive list of all forms of processing that we do. It is generated with data from most of other sections of this document.</w:t>
      </w:r>
    </w:p>
    <w:p>
      <w:pPr>
        <w:spacing w:after="80"/>
      </w:pPr>
      <w:r>
        <w:rPr>
          <w:rFonts w:ascii="Consolas" w:cs="Consolas" w:eastAsia="Consolas" w:hAnsi="Consolas"/>
          <w:color w:val="808080"/>
          <w:sz w:val="18"/>
          <w:szCs w:val="18"/>
        </w:rPr>
        <w:t xml:space="preserve">{%p for a in matters[i].processing_activities %}</w:t>
      </w:r>
    </w:p>
    <w:p>
      <w:pPr>
        <w:pStyle w:val="Heading3"/>
      </w:pPr>
      <w:r>
        <w:t xml:space="preserve">{{ a.name }}</w:t>
      </w:r>
    </w:p>
    <w:p>
      <w:pPr>
        <w:spacing w:after="160"/>
      </w:pPr>
      <w:r>
        <w:rPr>
          <w:b w:val="false"/>
          <w:bCs w:val="false"/>
          <w:i w:val="false"/>
          <w:iCs w:val="false"/>
        </w:rPr>
        <w:t xml:space="preserve">{{ a.description }}</w:t>
      </w:r>
    </w:p>
    <w:p>
      <w:pPr>
        <w:spacing w:after="160"/>
      </w:pPr>
      <w:r>
        <w:rPr>
          <w:b w:val="false"/>
          <w:bCs w:val="false"/>
          <w:i w:val="false"/>
          <w:iCs w:val="false"/>
        </w:rPr>
        <w:t xml:space="preserve">Purposes: {% for p in a.purposes.true_values() %}{{ p }}{% endfor %}</w:t>
      </w:r>
    </w:p>
    <w:p>
      <w:pPr>
        <w:spacing w:after="160"/>
      </w:pPr>
      <w:r>
        <w:rPr>
          <w:b w:val="false"/>
          <w:bCs w:val="false"/>
          <w:i w:val="false"/>
          <w:iCs w:val="false"/>
        </w:rPr>
        <w:t xml:space="preserve">Data categories: {% for c in a.data_categories.true_values() %}{{ c }}{% endfor %}</w:t>
      </w:r>
    </w:p>
    <w:p>
      <w:pPr>
        <w:spacing w:after="160"/>
      </w:pPr>
      <w:r>
        <w:rPr>
          <w:b w:val="false"/>
          <w:bCs w:val="false"/>
          <w:i w:val="false"/>
          <w:iCs w:val="false"/>
        </w:rPr>
        <w:t xml:space="preserve">Data subject categories: {% for s in a.data_subject_categories.true_values() %}{{ s }}{% endfor %}</w:t>
      </w:r>
    </w:p>
    <w:p>
      <w:pPr>
        <w:spacing w:after="160"/>
      </w:pPr>
      <w:r>
        <w:rPr>
          <w:b w:val="false"/>
          <w:bCs w:val="false"/>
          <w:i w:val="false"/>
          <w:iCs w:val="false"/>
        </w:rPr>
        <w:t xml:space="preserve">Recipients: {% for r in a.recipients or [] %}{{ r.name }} ({{ r.category }}){% endfor %}</w:t>
      </w:r>
    </w:p>
    <w:p>
      <w:pPr>
        <w:spacing w:after="80"/>
      </w:pPr>
      <w:r>
        <w:rPr>
          <w:rFonts w:ascii="Consolas" w:cs="Consolas" w:eastAsia="Consolas" w:hAnsi="Consolas"/>
          <w:color w:val="808080"/>
          <w:sz w:val="18"/>
          <w:szCs w:val="18"/>
        </w:rPr>
        <w:t xml:space="preserve">{%p if a.international_transfer %}</w:t>
      </w:r>
    </w:p>
    <w:p>
      <w:pPr>
        <w:spacing w:after="160"/>
      </w:pPr>
      <w:r>
        <w:rPr>
          <w:b w:val="false"/>
          <w:bCs w:val="false"/>
          <w:i w:val="false"/>
          <w:iCs w:val="false"/>
        </w:rPr>
        <w:t xml:space="preserve">International transfer mechanism(s): {% for m in a.transfer_mechanism.true_values() %}{{ m }}{% endfor %}</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Retention period: {{ a.retention_period }}</w:t>
      </w:r>
    </w:p>
    <w:p>
      <w:pPr>
        <w:spacing w:after="80"/>
      </w:pPr>
      <w:r>
        <w:rPr>
          <w:rFonts w:ascii="Consolas" w:cs="Consolas" w:eastAsia="Consolas" w:hAnsi="Consolas"/>
          <w:color w:val="808080"/>
          <w:sz w:val="18"/>
          <w:szCs w:val="18"/>
        </w:rPr>
        <w:t xml:space="preserve">{%p if matters[i].confirmed_jurisdictions['GDPR'] %}</w:t>
      </w:r>
    </w:p>
    <w:p>
      <w:pPr>
        <w:spacing w:after="160"/>
      </w:pPr>
      <w:r>
        <w:rPr>
          <w:b w:val="false"/>
          <w:bCs w:val="false"/>
          <w:i w:val="false"/>
          <w:iCs w:val="false"/>
        </w:rPr>
        <w:t xml:space="preserve">Lawful basis: {% for lb in a.lawful_basis.true_values() %}{{ lb }}{% endfor %}</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Security measures: {% for sm in a.security_measures.true_values() %}{{ sm }}{% endfor %}</w:t>
      </w:r>
    </w:p>
    <w:p>
      <w:pPr>
        <w:spacing w:after="160"/>
      </w:pPr>
      <w:r>
        <w:rPr>
          <w:b w:val="false"/>
          <w:bCs w:val="false"/>
          <w:i w:val="false"/>
          <w:iCs w:val="false"/>
        </w:rPr>
        <w:t xml:space="preserve">High-risk (DPIA required): {{ 'Yes' if a.is_high_risk else 'No' }}</w:t>
      </w:r>
    </w:p>
    <w:p>
      <w:pPr>
        <w:spacing w:after="160"/>
      </w:pPr>
      <w:r>
        <w:rPr>
          <w:b w:val="false"/>
          <w:bCs w:val="false"/>
          <w:i w:val="false"/>
          <w:iCs w:val="false"/>
        </w:rPr>
        <w:t xml:space="preserve">Relies on legitimate interest (LIA required): {{ 'Yes' if a.relies_on_legitimate_interest else 'No' }}</w:t>
      </w:r>
    </w:p>
    <w:p>
      <w:pPr>
        <w:spacing w:after="80"/>
      </w:pPr>
      <w:r>
        <w:rPr>
          <w:rFonts w:ascii="Consolas" w:cs="Consolas" w:eastAsia="Consolas" w:hAnsi="Consolas"/>
          <w:color w:val="808080"/>
          <w:sz w:val="18"/>
          <w:szCs w:val="18"/>
        </w:rPr>
        <w:t xml:space="preserve">{%p endfor %}</w:t>
      </w:r>
    </w:p>
    <w:p>
      <w:pPr>
        <w:pStyle w:val="Heading2"/>
      </w:pPr>
      <w:r>
        <w:t>11. Upcoming Obligations</w:t>
      </w:r>
    </w:p>
    <w:p>
      <w:r>
        <w:t>This section lists jurisdictions whose privacy law was detected as applicable to our operational footprint but that are not yet in force. Tracking these ahead of their effective date lets us build out the required policies, notices, and procedures before compliance becomes mandatory rather than after.</w:t>
      </w:r>
    </w:p>
    <w:p>
      <w:r>
        <w:t>{%p if matters[i].gap_analysis['upcoming_obligations']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960"/>
        <w:gridCol w:w="2400"/>
      </w:tblGrid>
      <w:tr>
        <w:trPr>
          <w:tblHeader/>
        </w:trPr>
        <w:tc>
          <w:tcPr>
            <w:tcW w:type="dxa" w:w="22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t>Jurisdiction</w:t>
            </w:r>
          </w:p>
        </w:tc>
        <w:tc>
          <w:tcPr>
            <w:tcW w:type="dxa" w:w="18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t>Effective Date</w:t>
            </w:r>
          </w:p>
        </w:tc>
        <w:tc>
          <w:tcPr>
            <w:tcW w:type="dxa" w:w="296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t>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{%tr for j in matters[i].gap_analysis['upcoming_obligations']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j['name']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j['effective_date']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Not yet in effect — {{ j['reason']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{%tr endfor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bl>
    <w:p>
      <w:r>
        <w:t>{%p else %}</w:t>
      </w:r>
    </w:p>
    <w:p>
      <w:r>
        <w:t>No upcoming obligations identified — every detected jurisdiction is currently in effect.</w:t>
      </w:r>
    </w:p>
    <w:p>
      <w:r>
        <w:t>{%p endif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1A1A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2026-07-06T23:16:04.923Z</dcterms:created>
  <dcterms:modified xsi:type="dcterms:W3CDTF">2026-07-06T23:16:04.923Z</dcterms:modified>
</cp:coreProperties>
</file>

<file path=docProps/custom.xml><?xml version="1.0" encoding="utf-8"?>
<Properties xmlns="http://schemas.openxmlformats.org/officeDocument/2006/custom-properties" xmlns:vt="http://schemas.openxmlformats.org/officeDocument/2006/docPropsVTypes"/>
</file>