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Privacy Compliance Gap Analysis Memo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Organisation: {{ matters[i].org.name.text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Matter Reference: {{ matters[i].matter_ref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Date: {{ today() }}</w:t>
      </w:r>
    </w:p>
    <w:p>
      <w:pPr>
        <w:pStyle w:val="Heading2"/>
      </w:pPr>
      <w:r>
        <w:t xml:space="preserve">1. Summary of Findings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This memo summarizes the gaps identified between the organisation's current privacy practices and the requirements of each applicable jurisdiction, together with the recommended severity of each finding.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Must Fix findings: {{ matters[i].gap_analysis['counts']['must_fix']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Should Fix findings: {{ matters[i].gap_analysis['counts']['should_fix']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Consider Fixing findings: {{ matters[i].gap_analysis['counts']['consider'] }}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Total findings: {{ matters[i].gap_analysis['counts']['total'] }}</w:t>
      </w:r>
    </w:p>
    <w:p>
      <w:pPr>
        <w:pStyle w:val="Heading2"/>
      </w:pPr>
      <w:r>
        <w:t xml:space="preserve">2. Findings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1500"/>
        <w:gridCol w:w="1800"/>
        <w:gridCol w:w="1800"/>
        <w:gridCol w:w="1360"/>
        <w:gridCol w:w="2160"/>
        <w:gridCol w:w="21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Jurisdiction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Authority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Current State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Severity</w:t>
            </w:r>
          </w:p>
        </w:tc>
        <w:tc>
          <w:tcPr>
            <w:tcW w:type="dxa" w:w="2160"/>
          </w:tcPr>
          <w:p>
            <w:r>
              <w:t>Policy Section</w:t>
            </w:r>
          </w:p>
        </w:tc>
        <w:tc>
          <w:tcPr>
            <w:tcW w:type="dxa" w:w="2160"/>
          </w:tcPr>
          <w:p>
            <w:r>
              <w:t>Why It Matters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{%tr for f in matters[i].gap_analysis['all'] %}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{{ f['jurisdiction'] }}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f['requirement'] }}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f['authority'] }}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f['current_state'] }}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f['gap'] }}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{{ f['severity'] }}</w:t>
            </w:r>
          </w:p>
        </w:tc>
        <w:tc>
          <w:tcPr>
            <w:tcW w:type="dxa" w:w="2160"/>
          </w:tcPr>
          <w:p>
            <w:r>
              <w:t>{{ f['policy_section'] }}</w:t>
            </w:r>
          </w:p>
        </w:tc>
        <w:tc>
          <w:tcPr>
            <w:tcW w:type="dxa" w:w="2160"/>
          </w:tcPr>
          <w:p>
            <w:r>
              <w:t>{{ f['why_it_matters'] }}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808080"/>
              </w:rPr>
              <w:t xml:space="preserve">{%tr endfor %}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pPr>
        <w:pStyle w:val="Heading2"/>
      </w:pPr>
      <w:r>
        <w:t>3. Upcoming Obligations</w:t>
      </w:r>
    </w:p>
    <w:p>
      <w:r>
        <w:t>The following jurisdictions were detected as applicable to the organisation’s operational footprint but are not yet in force. These are not compliance gaps against a current legal duty — they are advance notice so the organisation can prepare ahead of each law’s effective date rather than scrambling once it takes effect.</w:t>
      </w:r>
    </w:p>
    <w:p>
      <w:r>
        <w:t>{%p if matters[i].gap_analysis['upcoming_obligations'] %}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1500"/>
        <w:gridCol w:w="1800"/>
        <w:gridCol w:w="1800"/>
        <w:gridCol w:w="1360"/>
        <w:gridCol w:w="2160"/>
        <w:gridCol w:w="21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Jurisdiction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Effective Date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9E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Status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{%tr for j in matters[i].gap_analysis['upcoming_obligations'] %}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{{ j['name'] }}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{{ j['effective_date'] }}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Not yet in effect — {{ j['reason'] }}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{%tr endfor %}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r>
        <w:t>{%p else %}</w:t>
      </w:r>
    </w:p>
    <w:p>
      <w:r>
        <w:t>No upcoming obligations identified — every detected jurisdiction is currently in effect.</w:t>
      </w:r>
    </w:p>
    <w:p>
      <w:r>
        <w:t>{%p endif %}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  <w:outlineLvl w:val="1"/>
    </w:pPr>
    <w:rPr>
      <w:rFonts w:ascii="Arial" w:cs="Arial" w:eastAsia="Arial" w:hAnsi="Arial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i/>
      <w:iCs/>
      <w:color w:val="1A1A1A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2026-07-06T23:16:04.680Z</dcterms:created>
  <dcterms:modified xsi:type="dcterms:W3CDTF">2026-07-06T23:16:04.682Z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