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Record of Processing Activities (Article 30 GDPR)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Organisation (controller/processor): {{ matters[i].org.name.text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Privacy contact: {{ matters[i].org.contact_email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Matter Reference: {{ matters[i].matter_ref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{{ today()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Data Protection Officer: {{ matters[i].gdpr.dpo.name.full() if matters[i].gdpr.dpo_exists else 'Not appointed' }}</w:t>
      </w:r>
    </w:p>
    <w:p>
      <w:pPr>
        <w:pStyle w:val="Heading2"/>
      </w:pPr>
      <w:r>
        <w:t xml:space="preserve">Article 30 Record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record covers every processing activity carried out by the organisation, in accordance with Article 30 GDPR.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600"/>
        <w:gridCol w:w="1600"/>
        <w:gridCol w:w="1800"/>
        <w:gridCol w:w="1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Subjects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Recipients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International Transfer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Measures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{%tr for a in matters[i].processing_activities %}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{{ a.name }}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a.purposes.true_values() | join(', ') 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a.data_subject_categories.true_values() | join(', ') }}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a.data_categories.true_values() | join(', ') }}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a.recipients | join(', ') }}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(a.transfer_mechanism.true_values() | join(', ')) if a.international_transfer else 'None' 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a.retention_period }}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a.security_measures.true_values() | join(', ') }}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</w:rPr>
              <w:t xml:space="preserve">{%tr endfor %}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1A1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2026-07-06T23:16:05.227Z</dcterms:created>
  <dcterms:modified xsi:type="dcterms:W3CDTF">2026-07-06T23:16:05.227Z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