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9067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mera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067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Calibri" w:hAnsi="Calibri"/>
          <w:b/>
          <w:color w:val="1A3C6E"/>
          <w:sz w:val="56"/>
        </w:rPr>
        <w:t>Analyse Go / No-Go</w:t>
      </w:r>
    </w:p>
    <w:p/>
    <w:p>
      <w:pPr>
        <w:jc w:val="center"/>
      </w:pPr>
      <w:r>
        <w:rPr>
          <w:rFonts w:ascii="Calibri" w:hAnsi="Calibri"/>
          <w:color w:val="666666"/>
          <w:sz w:val="28"/>
        </w:rPr>
        <w:t>Formation à l'Intelligence Artificielle pour les agents de la Mairie de Lyon</w:t>
      </w:r>
    </w:p>
    <w:p/>
    <w:p/>
    <w:p>
      <w:pPr>
        <w:jc w:val="center"/>
      </w:pPr>
      <w:r>
        <w:rPr>
          <w:color w:val="2E75B6"/>
        </w:rPr>
        <w:t>__________________________________________________</w:t>
      </w:r>
    </w:p>
    <w:p/>
    <w:p>
      <w:pPr>
        <w:jc w:val="center"/>
      </w:pPr>
      <w:r>
        <w:rPr>
          <w:rFonts w:ascii="Calibri" w:hAnsi="Calibri"/>
          <w:color w:val="666666"/>
          <w:sz w:val="20"/>
        </w:rPr>
        <w:t>Almera - Organisme de formation certifié Qualiopi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Spécialiste en Intelligence Artificielle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contact@almera.one | almera.one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Date : 02/04/2026</w:t>
      </w:r>
    </w:p>
    <w:p>
      <w:r>
        <w:br w:type="page"/>
      </w:r>
    </w:p>
    <w:p>
      <w:pPr>
        <w:pStyle w:val="Heading1"/>
      </w:pPr>
      <w:r>
        <w:t>ANALYSE APPEL D'OFFRES - Formation IA Mairie de Lyon</w:t>
      </w:r>
    </w:p>
    <w:p>
      <w:pPr>
        <w:pStyle w:val="Heading2"/>
      </w:pPr>
      <w:r>
        <w:t>1. SCORING PAR CRITÈRE DE NOTATION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Critère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Poids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Note Almera /10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Score pondéré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Points forts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Axes d'amélioration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Qualité technique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40%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8.5/10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34/40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• Expertise IA reconnue (livre ENI, Hub France IA)</w:t>
              <w:br/>
              <w:t>• Certification RS6776 rare dans le secteur</w:t>
              <w:br/>
              <w:t>• 2000+ personnes formées</w:t>
              <w:br/>
              <w:t>• Couverture complète des outils (ChatGPT, Copilot, etc.)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• Présenter des cas d'usage concrets pour les métiers municipaux</w:t>
              <w:br/>
              <w:t>• Détailler l'approche éthique de l'IA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Prix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30%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7/10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21/30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• Tarifs compétitifs vs grands organismes</w:t>
              <w:br/>
              <w:t>• Modèle freelance optimisé</w:t>
              <w:br/>
              <w:t>• Pas de TVA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• Budget serré (225€/personne)</w:t>
              <w:br/>
              <w:t>• Optimiser le nombre de jours formation</w:t>
              <w:br/>
              <w:t>• Proposer du blended learning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Méthodologie pédagogique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20%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9/10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18/20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• Approche 4 étapes structurée</w:t>
              <w:br/>
              <w:t>• Formations 100% personnalisées</w:t>
              <w:br/>
              <w:t>• Ateliers pratiques adaptés métiers</w:t>
              <w:br/>
              <w:t>• Suivi post-formation via app Almera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• Détailler la différenciation par métiers municipaux</w:t>
              <w:br/>
              <w:t>• Présenter les outils pédagogiques innovants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Développement durable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10%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6/10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6/10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• Formation sur l'IA responsable/éthique</w:t>
              <w:br/>
              <w:t>• Réduction déplacements via blended</w:t>
              <w:br/>
              <w:t>• Certification RS6776 inclut "usage responsable"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• Développer l'angle impact environnemental</w:t>
              <w:br/>
              <w:t>• Proposer supports dématérialisés</w:t>
              <w:br/>
              <w:t>• Mesurer l'empreinte carbone</w:t>
            </w:r>
          </w:p>
        </w:tc>
      </w:tr>
    </w:tbl>
    <w:p/>
    <w:p>
      <w:r>
        <w:rPr>
          <w:rFonts w:ascii="Calibri" w:hAnsi="Calibri"/>
          <w:b/>
          <w:color w:val="1A3C6E"/>
          <w:sz w:val="22"/>
        </w:rPr>
        <w:t>SCORE GLOBAL ESTIMÉ : 79/100</w:t>
      </w:r>
    </w:p>
    <w:p>
      <w:pPr>
        <w:pStyle w:val="Heading2"/>
      </w:pPr>
      <w:r>
        <w:t>2. ANALYSE CONCURRENTIELLE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Type concurrent</w:t>
            </w:r>
          </w:p>
        </w:tc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Forces vs nous</w:t>
            </w:r>
          </w:p>
        </w:tc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Faiblesses vs nous</w:t>
            </w:r>
          </w:p>
        </w:tc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Notre stratégie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Grands organismes</w:t>
            </w:r>
            <w:r>
              <w:rPr>
                <w:rFonts w:ascii="Calibri" w:hAnsi="Calibri"/>
                <w:color w:val="333333"/>
                <w:sz w:val="20"/>
              </w:rPr>
              <w:t xml:space="preserve"> (CEGOS, Demos)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• Notoriété établie</w:t>
              <w:br/>
              <w:t>• Expérience marchés publics</w:t>
              <w:br/>
              <w:t>• Catalogue standardisé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• Prix plus élevés</w:t>
              <w:br/>
              <w:t>• Formations génériques</w:t>
              <w:br/>
              <w:t>• Moins d'expertise IA spécialisée</w:t>
              <w:br/>
              <w:t>• Formateurs moins spécialisés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• Mettre en avant notre expertise IA pure</w:t>
              <w:br/>
              <w:t>• Insister sur la personnalisation</w:t>
              <w:br/>
              <w:t>• Valoriser notre agilité et innovation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Acteurs régionaux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• Proximité géographique</w:t>
              <w:br/>
              <w:t>• Connaissance locale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• Moins de références</w:t>
              <w:br/>
              <w:t>• Expertise IA limitée</w:t>
              <w:br/>
              <w:t>• Pas de certifications spécialisées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• Capitaliser sur notre bureau Annecy</w:t>
              <w:br/>
              <w:t>• Présenter nos références institutionnelles</w:t>
              <w:br/>
              <w:t>• Valoriser Qualiopi + RS6776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Freelances IA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• Prix attractifs</w:t>
              <w:br/>
              <w:t>• Expertise technique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• Pas de structure</w:t>
              <w:br/>
              <w:t>• Pas Qualiopi</w:t>
              <w:br/>
              <w:t>• Capacité limitée (200 pers.)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• Mettre en avant notre réseau 10 formateurs</w:t>
              <w:br/>
              <w:t>• Valoriser certifications et références</w:t>
              <w:br/>
              <w:t>• Rassurer sur la capacité de déploiement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Organismes publics</w:t>
            </w:r>
            <w:r>
              <w:rPr>
                <w:rFonts w:ascii="Calibri" w:hAnsi="Calibri"/>
                <w:color w:val="333333"/>
                <w:sz w:val="20"/>
              </w:rPr>
              <w:t xml:space="preserve"> (GRETA)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• Prix compétitifs</w:t>
              <w:br/>
              <w:t>• Habitude secteur public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• Innovation limitée</w:t>
              <w:br/>
              <w:t>• Expertise IA récente</w:t>
              <w:br/>
              <w:t>• Moins d'agilité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• Jouer la carte innovation et expertise</w:t>
              <w:br/>
              <w:t>• Présenter notre approche métier</w:t>
              <w:br/>
              <w:t>• Valoriser nos références privé/public</w:t>
            </w:r>
          </w:p>
        </w:tc>
      </w:tr>
    </w:tbl>
    <w:p/>
    <w:p>
      <w:pPr>
        <w:pStyle w:val="Heading2"/>
      </w:pPr>
      <w:r>
        <w:t>3. FORCES / FAIBLESSES / RISQUES / RECOMMANDATIONS</w:t>
      </w:r>
    </w:p>
    <w:p>
      <w:pPr>
        <w:pStyle w:val="Heading3"/>
      </w:pPr>
      <w:r>
        <w:t>FORCES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Expertise IA reconnue</w:t>
      </w:r>
      <w:r>
        <w:rPr>
          <w:rFonts w:ascii="Calibri" w:hAnsi="Calibri"/>
          <w:color w:val="333333"/>
          <w:sz w:val="22"/>
        </w:rPr>
        <w:t xml:space="preserve"> : Certification RS6776, livre best-seller, membre Hub France IA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Références institutionnelles solides</w:t>
      </w:r>
      <w:r>
        <w:rPr>
          <w:rFonts w:ascii="Calibri" w:hAnsi="Calibri"/>
          <w:color w:val="333333"/>
          <w:sz w:val="22"/>
        </w:rPr>
        <w:t xml:space="preserve"> : Caisse des Dépôts, CCI, Action Logement, Habitat social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Proximité géographique</w:t>
      </w:r>
      <w:r>
        <w:rPr>
          <w:rFonts w:ascii="Calibri" w:hAnsi="Calibri"/>
          <w:color w:val="333333"/>
          <w:sz w:val="22"/>
        </w:rPr>
        <w:t xml:space="preserve"> : Bureau Annecy (région Auvergne-Rhône-Alpes)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Approche complète</w:t>
      </w:r>
      <w:r>
        <w:rPr>
          <w:rFonts w:ascii="Calibri" w:hAnsi="Calibri"/>
          <w:color w:val="333333"/>
          <w:sz w:val="22"/>
        </w:rPr>
        <w:t xml:space="preserve"> : 4 étapes avec suivi post-formation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Certifications différenciantes</w:t>
      </w:r>
      <w:r>
        <w:rPr>
          <w:rFonts w:ascii="Calibri" w:hAnsi="Calibri"/>
          <w:color w:val="333333"/>
          <w:sz w:val="22"/>
        </w:rPr>
        <w:t xml:space="preserve"> : Qualiopi + RS6776 (rare combinaison)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Satisfaction client élevée</w:t>
      </w:r>
      <w:r>
        <w:rPr>
          <w:rFonts w:ascii="Calibri" w:hAnsi="Calibri"/>
          <w:color w:val="333333"/>
          <w:sz w:val="22"/>
        </w:rPr>
        <w:t xml:space="preserve"> : 4,9/5 sur Google</w:t>
      </w:r>
    </w:p>
    <w:p>
      <w:pPr>
        <w:pStyle w:val="Heading3"/>
      </w:pPr>
      <w:r>
        <w:t>FAIBLESSES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Nouveauté sur marchés publics</w:t>
      </w:r>
      <w:r>
        <w:rPr>
          <w:rFonts w:ascii="Calibri" w:hAnsi="Calibri"/>
          <w:color w:val="333333"/>
          <w:sz w:val="22"/>
        </w:rPr>
        <w:t xml:space="preserve"> : Moins d'expérience que les gros organismes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Budget serré</w:t>
      </w:r>
      <w:r>
        <w:rPr>
          <w:rFonts w:ascii="Calibri" w:hAnsi="Calibri"/>
          <w:color w:val="333333"/>
          <w:sz w:val="22"/>
        </w:rPr>
        <w:t xml:space="preserve"> : 225€/personne nécessite optimisation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Pas de référence mairie</w:t>
      </w:r>
      <w:r>
        <w:rPr>
          <w:rFonts w:ascii="Calibri" w:hAnsi="Calibri"/>
          <w:color w:val="333333"/>
          <w:sz w:val="22"/>
        </w:rPr>
        <w:t xml:space="preserve"> : Aucune collectivité en références directes</w:t>
      </w:r>
    </w:p>
    <w:p>
      <w:pPr>
        <w:pStyle w:val="Heading3"/>
      </w:pPr>
      <w:r>
        <w:t>RISQUES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Sous-estimation des coûts</w:t>
      </w:r>
      <w:r>
        <w:rPr>
          <w:rFonts w:ascii="Calibri" w:hAnsi="Calibri"/>
          <w:color w:val="333333"/>
          <w:sz w:val="22"/>
        </w:rPr>
        <w:t xml:space="preserve"> : Budget tight, attention aux frais cachés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Concurrence prix agressive</w:t>
      </w:r>
      <w:r>
        <w:rPr>
          <w:rFonts w:ascii="Calibri" w:hAnsi="Calibri"/>
          <w:color w:val="333333"/>
          <w:sz w:val="22"/>
        </w:rPr>
        <w:t xml:space="preserve"> : Risque d'être éliminé sur le critère prix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Exigences techniques mal comprises</w:t>
      </w:r>
      <w:r>
        <w:rPr>
          <w:rFonts w:ascii="Calibri" w:hAnsi="Calibri"/>
          <w:color w:val="333333"/>
          <w:sz w:val="22"/>
        </w:rPr>
        <w:t xml:space="preserve"> : Bien analyser les besoins spécifiques métiers municipaux</w:t>
      </w:r>
    </w:p>
    <w:p>
      <w:pPr>
        <w:pStyle w:val="Heading3"/>
      </w:pPr>
      <w:r>
        <w:t>5 RECOMMANDATIONS ACTIONNABLES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Proposer un blended learning</w:t>
      </w:r>
      <w:r>
        <w:rPr>
          <w:rFonts w:ascii="Calibri" w:hAnsi="Calibri"/>
          <w:color w:val="333333"/>
          <w:sz w:val="22"/>
        </w:rPr>
        <w:t xml:space="preserve"> (présentiel + e-learning) pour optimiser les coûts et toucher les 200 agents efficacement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Créer des parcours différenciés par métier</w:t>
      </w:r>
      <w:r>
        <w:rPr>
          <w:rFonts w:ascii="Calibri" w:hAnsi="Calibri"/>
          <w:color w:val="333333"/>
          <w:sz w:val="22"/>
        </w:rPr>
        <w:t xml:space="preserve"> : RH, Communication, Services techniques, Accueil citoyen, etc. avec cas d'usage concrets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Mettre en avant l'axe "IA éthique et responsable"</w:t>
      </w:r>
      <w:r>
        <w:rPr>
          <w:rFonts w:ascii="Calibri" w:hAnsi="Calibri"/>
          <w:color w:val="333333"/>
          <w:sz w:val="22"/>
        </w:rPr>
        <w:t xml:space="preserve"> : Valoriser la certification RS6776 et développer l'angle développement durable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Structurer l'offre autour de la proximité</w:t>
      </w:r>
      <w:r>
        <w:rPr>
          <w:rFonts w:ascii="Calibri" w:hAnsi="Calibri"/>
          <w:color w:val="333333"/>
          <w:sz w:val="22"/>
        </w:rPr>
        <w:t xml:space="preserve"> : Insister sur le bureau Annecy et la connaissance des enjeux territoriaux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Proposer un accompagnement post-formation</w:t>
      </w:r>
      <w:r>
        <w:rPr>
          <w:rFonts w:ascii="Calibri" w:hAnsi="Calibri"/>
          <w:color w:val="333333"/>
          <w:sz w:val="22"/>
        </w:rPr>
        <w:t xml:space="preserve"> : App Almera + newsletter veille + hotline pour maximiser l'appropriation</w:t>
      </w:r>
    </w:p>
    <w:p>
      <w:pPr>
        <w:pStyle w:val="Heading2"/>
      </w:pPr>
      <w:r>
        <w:t>4. CHECKLIST DOCUMENTS REQUIS</w:t>
      </w:r>
    </w:p>
    <w:p>
      <w:r>
        <w:rPr>
          <w:rFonts w:ascii="Calibri" w:hAnsi="Calibri"/>
          <w:b/>
          <w:color w:val="1A3C6E"/>
          <w:sz w:val="22"/>
        </w:rPr>
        <w:t>Documents administratifs obligatoires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DC1 - Lettre de candidature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DC2 - Déclaration du candidat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ATTRI1 - Déclaration d'attestation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Kbis de moins de 3 mois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Attestation fiscale (moins de 6 mois)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Attestation URSSAF (moins de 6 mois)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Attestation assurance responsabilité civile professionnelle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Liasse fiscale ou bilan comptable</w:t>
      </w:r>
    </w:p>
    <w:p>
      <w:r>
        <w:rPr>
          <w:rFonts w:ascii="Calibri" w:hAnsi="Calibri"/>
          <w:b/>
          <w:color w:val="1A3C6E"/>
          <w:sz w:val="22"/>
        </w:rPr>
        <w:t>Documents Almera spécifiques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Certificat Qualiopi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Certification RS6776 France Compétences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Attestation Activateur France Num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Justificatifs Hub France IA et French Tech</w:t>
      </w:r>
    </w:p>
    <w:p>
      <w:r>
        <w:rPr>
          <w:rFonts w:ascii="Calibri" w:hAnsi="Calibri"/>
          <w:b/>
          <w:color w:val="1A3C6E"/>
          <w:sz w:val="22"/>
        </w:rPr>
        <w:t>Mémoire technique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Compréhension du besoin et analyse du contexte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Méthodologie pédagogique détaillée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Programme de formation par métier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Approche développement durable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Planning de déploiement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CV formateurs et coordinateur projet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Références clients similaires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Outils et supports pédagogiques</w:t>
      </w:r>
    </w:p>
    <w:p>
      <w:pPr>
        <w:pStyle w:val="Heading2"/>
      </w:pPr>
      <w:r>
        <w:t>5. ESTIMATION TEMPS DE PRÉPARATION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Tâche</w:t>
            </w:r>
          </w:p>
        </w:tc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Temps estimé</w:t>
            </w:r>
          </w:p>
        </w:tc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Qui</w:t>
            </w:r>
          </w:p>
        </w:tc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Automatisé ?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Lecture DCE et analyse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2h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Chef de projet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Non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Génération mémoire technique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10min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AO Hunter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✅ Oui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Personnalisation contenu métiers municipaux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3h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Expert IA + Chef projet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Non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Génération lettre candidature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5min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AO Hunter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✅ Oui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Relecture et ajustements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1h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Chef de projet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Non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Préparation pièces administratives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1h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Administratif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Non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Mise en forme finale et vérifications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1h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Chef de projet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Non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Dépôt dossier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30min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Administratif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Non</w:t>
            </w:r>
          </w:p>
        </w:tc>
      </w:tr>
    </w:tbl>
    <w:p/>
    <w:p>
      <w:r>
        <w:rPr>
          <w:rFonts w:ascii="Calibri" w:hAnsi="Calibri"/>
          <w:b/>
          <w:color w:val="1A3C6E"/>
          <w:sz w:val="22"/>
        </w:rPr>
        <w:t>TOTAL : 1,5 jour ouvré</w:t>
      </w:r>
    </w:p>
    <w:p>
      <w:r>
        <w:rPr>
          <w:rFonts w:ascii="Calibri" w:hAnsi="Calibri"/>
          <w:b/>
          <w:color w:val="1A3C6E"/>
          <w:sz w:val="22"/>
        </w:rPr>
        <w:t>Date limite recommandée pour commencer : 3 jours avant échéance de dépôt</w:t>
      </w:r>
    </w:p>
    <w:p>
      <w:pPr>
        <w:pStyle w:val="Heading2"/>
      </w:pPr>
      <w:r>
        <w:t>6. DÉCISION GO / NO-GO</w:t>
      </w:r>
    </w:p>
    <w:p>
      <w:pPr>
        <w:pStyle w:val="Heading3"/>
      </w:pPr>
      <w:r>
        <w:t>Probabilité de succès : 70%</w:t>
      </w:r>
    </w:p>
    <w:p>
      <w:r>
        <w:rPr>
          <w:rFonts w:ascii="Calibri" w:hAnsi="Calibri"/>
          <w:b/>
          <w:color w:val="1A3C6E"/>
          <w:sz w:val="22"/>
        </w:rPr>
        <w:t>Justification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Score technique élevé grâce à notre expertise IA reconnue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Méthodologie pédagogique différenciante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Proximité géographique (bureau Annecy)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Budget optimisable avec approche blended learning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Références institutionnelles solides</w:t>
      </w:r>
    </w:p>
    <w:p>
      <w:pPr>
        <w:pStyle w:val="Heading3"/>
      </w:pPr>
      <w:r>
        <w:t>DÉCISION : GO</w:t>
      </w:r>
    </w:p>
    <w:p>
      <w:pPr>
        <w:pStyle w:val="Heading3"/>
      </w:pPr>
      <w:r>
        <w:t>Conditions de succès :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Optimisation prix</w:t>
      </w:r>
      <w:r>
        <w:rPr>
          <w:rFonts w:ascii="Calibri" w:hAnsi="Calibri"/>
          <w:color w:val="333333"/>
          <w:sz w:val="22"/>
        </w:rPr>
        <w:t xml:space="preserve"> via blended learning (présentiel + e-learning)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Personnalisation métiers</w:t>
      </w:r>
      <w:r>
        <w:rPr>
          <w:rFonts w:ascii="Calibri" w:hAnsi="Calibri"/>
          <w:color w:val="333333"/>
          <w:sz w:val="22"/>
        </w:rPr>
        <w:t xml:space="preserve"> avec cas d'usage municipaux concrets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Valorisation expertise éthique</w:t>
      </w:r>
      <w:r>
        <w:rPr>
          <w:rFonts w:ascii="Calibri" w:hAnsi="Calibri"/>
          <w:color w:val="333333"/>
          <w:sz w:val="22"/>
        </w:rPr>
        <w:t xml:space="preserve"> pour critère développement durable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Mise en avant proximité</w:t>
      </w:r>
      <w:r>
        <w:rPr>
          <w:rFonts w:ascii="Calibri" w:hAnsi="Calibri"/>
          <w:color w:val="333333"/>
          <w:sz w:val="22"/>
        </w:rPr>
        <w:t xml:space="preserve"> et références institutionnelles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Proposition accompagnement post-formation</w:t>
      </w:r>
      <w:r>
        <w:rPr>
          <w:rFonts w:ascii="Calibri" w:hAnsi="Calibri"/>
          <w:color w:val="333333"/>
          <w:sz w:val="22"/>
        </w:rPr>
        <w:t xml:space="preserve"> pour se démarquer</w:t>
      </w:r>
    </w:p>
    <w:p>
      <w:r>
        <w:rPr>
          <w:rFonts w:ascii="Calibri" w:hAnsi="Calibri"/>
          <w:b/>
          <w:color w:val="1A3C6E"/>
          <w:sz w:val="22"/>
        </w:rPr>
        <w:t>Cet AO correspond parfaitement à notre cœur d'expertise et représente une excellente opportunité d'entrée sur le marché des collectivités territoriales.</w:t>
      </w:r>
    </w:p>
    <w:sectPr w:rsidR="00FC693F" w:rsidRPr="0006063C" w:rsidSect="00034616"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Almera - Document confidentiel  | 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666666"/>
        <w:sz w:val="16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