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Analyse de Couverture RC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Formation à l'Intelligence Artificielle pour les agents de la Mairie de Lyon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02/04/2026</w:t>
      </w:r>
    </w:p>
    <w:p>
      <w:r>
        <w:br w:type="page"/>
      </w:r>
    </w:p>
    <w:p>
      <w:pPr>
        <w:pStyle w:val="Heading1"/>
      </w:pPr>
      <w:r>
        <w:t>ANALYSE DE COUVERTURE DU REGLEMENT DE CONSULTATION</w:t>
      </w:r>
    </w:p>
    <w:p>
      <w:pPr>
        <w:pStyle w:val="Heading2"/>
      </w:pPr>
      <w:r>
        <w:t>Synthese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63%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26%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 couvert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11%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Score de couverture global : 74%</w:t>
      </w:r>
    </w:p>
    <w:p>
      <w:pPr>
        <w:pStyle w:val="Heading2"/>
      </w:pPr>
      <w:r>
        <w:t>Detail par exigence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Exigence du RC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Critere associe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Localisation dans le memoire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Recommandation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Former 200 agents municipaux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 (40%)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2 "Compréhension du besoin" + Section 6 "Planning"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aux outils IA générative (ChatGPT, Copilot, etc.)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 (40%)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5 "Moyens techniques" - ChatGPT, Copilot, Claude, Gemini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Couvrir les usages professionnels de l'IA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 (40%)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3 "Méthodologie" - modules spécifiques par métier + Section 2 enjeux techniques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Traiter les enjeux éthiques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 (40%)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3 mentions "enjeux éthiques" et Section 4 "enjeux éthiques de l'IA dans le service public"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Ajouter une section dédiée détaillant le programme éthique : transparence, biais algorithmiques, protection des données citoyens, responsabilité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Proposer des ateliers pratiques adaptés aux métiers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Méthodologie pédagogique (20%)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3 "70% pratique", "Modules spécifiques par direction", "Ateliers collaboratifs"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Stratégie de transformation numérique municipale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 (40%)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2 "transformation numérique ambitieuse" + approche structurée 4 étapes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 de la solution proposée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 (40%)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1 "expertise reconnue", certifications Qualiopi, RS6776 + Section 3 méthodologie structurée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Méthodologie pédagogique adaptée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Méthodologie pédagogique (20%)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3 complète + Section 7 "Certification Qualiopi"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Approche innovante de formation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Méthodologie pédagogique (20%)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3 "Innovation pédagogique" - méthodes actives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Détailler davantage les innovations : gamification, réalité virtuelle, micro-learning, IA pour personnaliser les parcours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Évaluation des compétences acquises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Méthodologie pédagogique (20%)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7 "Méthodes d'évaluation" - quiz, exercices pratiques, auto-évaluation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Suivi post-formation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Méthodologie pédagogique (20%)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3 "ÉTAPE 4" + Section 5 "Application Almera"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Compétitivité du prix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Prix (30%)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 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Absent du mémoire technique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Le prix doit être traité dans l'offre financière séparée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Rapport qualité-prix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Prix (30%)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Valeur ajoutée mentionnée mais pas de justification prix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Ajouter une section justifiant la valeur : ROI formation, économies générées, comparaison marché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14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Démarche développement durable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Développement durable (10%)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 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Aucune mention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Ajouter section complète : formations hybrides réduisant déplacements, supports dématérialisés, bilan carbone, économie circulaire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Impact environnemental de la formation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Développement durable (10%)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 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Aucune mention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Quantifier l'impact : réduction km parcourus, papier économisé, serveurs verts pour plateforme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16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Responsabilité sociale et sociétale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Développement durable (10%)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Approche inclusive mentionnée Section 4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Développer : accessibilité handicap, égalité femmes-hommes, inclusion numérique, insertion sociale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Adaptation aux contraintes du service public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 (40%)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2 "Spécificités secteur public" + contraintes RGPD, sécurité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18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Planning réaliste et détaillé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 (40%)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6 complète avec calendrier 16 semaines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19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Moyens humains qualifiés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 (40%)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4 présente l'équipe mais manque CV détaillés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Ajouter CV complets des formateurs, leurs certifications IA spécifiques, références clients publics</w:t>
            </w:r>
          </w:p>
        </w:tc>
      </w:tr>
    </w:tbl>
    <w:p/>
    <w:p>
      <w:pPr>
        <w:pStyle w:val="Heading2"/>
      </w:pPr>
      <w:r>
        <w:t>Actions prioritaires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URGENT - Ajouter section Développement Durable complète</w:t>
      </w:r>
      <w:r>
        <w:rPr>
          <w:rFonts w:ascii="Calibri" w:hAnsi="Calibri"/>
          <w:color w:val="333333"/>
          <w:sz w:val="22"/>
        </w:rPr>
        <w:t xml:space="preserve"> (Impact: +++++)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Détailler démarche environnementale, sociale et économique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Quantifier réductions CO2, papier, déplacements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Mentionner accessibilité, égalité, inclusion numérique</w:t>
      </w:r>
    </w:p>
    <w:p>
      <w:pPr>
        <w:pStyle w:val="ListBullet"/>
      </w:pPr>
      <w:r>
        <w:rPr>
          <w:rFonts w:ascii="Calibri" w:hAnsi="Calibri"/>
          <w:i/>
          <w:color w:val="333333"/>
          <w:sz w:val="22"/>
        </w:rPr>
        <w:t>Justification: 10% de la note totalement absente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Enrichir le volet éthique de l'IA</w:t>
      </w:r>
      <w:r>
        <w:rPr>
          <w:rFonts w:ascii="Calibri" w:hAnsi="Calibri"/>
          <w:color w:val="333333"/>
          <w:sz w:val="22"/>
        </w:rPr>
        <w:t xml:space="preserve"> (Impact: ++++)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Créer section dédiée aux enjeux éthiques : biais, transparence, explicabilité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Développer cadre déontologique pour agents publics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Ajouter outils d'audit éthique des IA utilisées</w:t>
      </w:r>
    </w:p>
    <w:p>
      <w:pPr>
        <w:pStyle w:val="ListBullet"/>
      </w:pPr>
      <w:r>
        <w:rPr>
          <w:rFonts w:ascii="Calibri" w:hAnsi="Calibri"/>
          <w:i/>
          <w:color w:val="333333"/>
          <w:sz w:val="22"/>
        </w:rPr>
        <w:t>Justification: Élément central qualité technique sous-traité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Renforcer moyens humains avec CV détaillés</w:t>
      </w:r>
      <w:r>
        <w:rPr>
          <w:rFonts w:ascii="Calibri" w:hAnsi="Calibri"/>
          <w:color w:val="333333"/>
          <w:sz w:val="22"/>
        </w:rPr>
        <w:t xml:space="preserve"> (Impact: +++)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Ajouter CV complets des 10 formateurs freelance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Lister certifications IA spécifiques de chacun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Présenter références clients secteur public détaillées</w:t>
      </w:r>
    </w:p>
    <w:p>
      <w:pPr>
        <w:pStyle w:val="ListBullet"/>
      </w:pPr>
      <w:r>
        <w:rPr>
          <w:rFonts w:ascii="Calibri" w:hAnsi="Calibri"/>
          <w:i/>
          <w:color w:val="333333"/>
          <w:sz w:val="22"/>
        </w:rPr>
        <w:t>Justification: Crédibilité équipe insuffisamment démontrée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Justifier rapport qualité-prix</w:t>
      </w:r>
      <w:r>
        <w:rPr>
          <w:rFonts w:ascii="Calibri" w:hAnsi="Calibri"/>
          <w:color w:val="333333"/>
          <w:sz w:val="22"/>
        </w:rPr>
        <w:t xml:space="preserve"> (Impact: +++)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Ajouter section ROI et valeur générée pour la collectivité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Benchmarker avec solutions concurrentes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Quantifier gains productivité attendus</w:t>
      </w:r>
    </w:p>
    <w:p>
      <w:pPr>
        <w:pStyle w:val="ListBullet"/>
      </w:pPr>
      <w:r>
        <w:rPr>
          <w:rFonts w:ascii="Calibri" w:hAnsi="Calibri"/>
          <w:i/>
          <w:color w:val="333333"/>
          <w:sz w:val="22"/>
        </w:rPr>
        <w:t>Justification: Critère prix 30% partiellement traité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Développer l'innovation pédagogique</w:t>
      </w:r>
      <w:r>
        <w:rPr>
          <w:rFonts w:ascii="Calibri" w:hAnsi="Calibri"/>
          <w:color w:val="333333"/>
          <w:sz w:val="22"/>
        </w:rPr>
        <w:t xml:space="preserve"> (Impact: ++)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Détailler gamification, micro-learning, adaptive learning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Présenter outils collaboratifs innovants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Mentionner use cases avant-gardistes</w:t>
      </w:r>
    </w:p>
    <w:p>
      <w:pPr>
        <w:pStyle w:val="ListBullet"/>
      </w:pPr>
      <w:r>
        <w:rPr>
          <w:rFonts w:ascii="Calibri" w:hAnsi="Calibri"/>
          <w:i/>
          <w:color w:val="333333"/>
          <w:sz w:val="22"/>
        </w:rPr>
        <w:t>Justification: Différenciation concurrentielle méthodologique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