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56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6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PLANNING PREVISIONNEL DE REALISATION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Formation à l'Intelligence Artificielle pour les agents de la Mairie de Lyon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0"/>
        <w:gridCol w:w="3500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Livrables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S9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S10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S11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S12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S13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S14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S15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S16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S17</w:t>
            </w:r>
          </w:p>
        </w:tc>
        <w:tc>
          <w:tcPr>
            <w:tcW w:type="dxa" w:w="75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S18</w:t>
            </w:r>
          </w:p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1 - Lancement et diagnostic des besoins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Compte-rendu de cadrage, analyse des besoins par métier, cartographie des profils agents</w:t>
            </w:r>
          </w:p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2 - Conception pédagogique personnalisée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Programme de formation détaillé, supports adaptés par métier municipal, modules e-learning</w:t>
            </w:r>
          </w:p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27AE60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E67E22"/>
                <w:sz w:val="18"/>
              </w:rPr>
              <w:t>Phase 3 - Formation pilote avec groupe référent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 pilote réalisée, retours d'expérience analysés, ajustements apportés</w:t>
            </w:r>
          </w:p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  <w:shd w:fill="E67E22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8E44AD"/>
                <w:sz w:val="18"/>
              </w:rPr>
              <w:t>Phase 4 - Déploiement formation en présentiel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10 sessions de formation réalisées (20 agents par session), attestations de formation</w:t>
            </w:r>
          </w:p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8E44AD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C0392B"/>
                <w:sz w:val="18"/>
              </w:rPr>
              <w:t>Phase 5 - Mise en place plateforme e-learning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Plateforme accessible, ressources numériques disponibles, tutoriels vidéo</w:t>
            </w:r>
          </w:p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  <w:shd w:fill="C0392B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16A085"/>
                <w:sz w:val="18"/>
              </w:rPr>
              <w:t>Phase 6 - Accompagnement et suivi post-formation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Sessions de questions-réponses, support technique, évaluations des acquis</w:t>
            </w:r>
          </w:p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16A085" w:val="clear"/>
          </w:tcPr>
          <w:p/>
        </w:tc>
        <w:tc>
          <w:tcPr>
            <w:tcW w:type="dxa" w:w="1094"/>
            <w:shd w:fill="16A085" w:val="clear"/>
          </w:tcPr>
          <w:p/>
        </w:tc>
        <w:tc>
          <w:tcPr>
            <w:tcW w:type="dxa" w:w="1094"/>
            <w:shd w:fill="16A08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  <w:tc>
          <w:tcPr>
            <w:tcW w:type="dxa" w:w="1094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7 - Bilan final et recommandations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Rapport final d'évaluation, recommandations pour pérennisation, bilan de satisfaction</w:t>
            </w:r>
          </w:p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  <w:shd w:fill="2E75B6" w:val="clear"/>
          </w:tcPr>
          <w:p/>
        </w:tc>
        <w:tc>
          <w:tcPr>
            <w:tcW w:type="dxa" w:w="1094"/>
          </w:tcPr>
          <w:p/>
        </w:tc>
        <w:tc>
          <w:tcPr>
            <w:tcW w:type="dxa" w:w="1094"/>
          </w:tcPr>
          <w:p/>
        </w:tc>
      </w:tr>
    </w:tbl>
    <w:p/>
    <w:p>
      <w:pPr>
        <w:jc w:val="left"/>
      </w:pPr>
      <w:r>
        <w:rPr>
          <w:rFonts w:ascii="Calibri" w:hAnsi="Calibri"/>
          <w:b/>
          <w:color w:val="333333"/>
          <w:sz w:val="20"/>
        </w:rPr>
        <w:t xml:space="preserve">Legende : </w:t>
      </w:r>
      <w:r>
        <w:rPr>
          <w:rFonts w:ascii="Calibri" w:hAnsi="Calibri"/>
          <w:color w:val="2E75B6"/>
          <w:sz w:val="18"/>
        </w:rPr>
        <w:t xml:space="preserve">  ■ Phase 1 - Lancement et diagnostic des besoins  </w:t>
      </w:r>
      <w:r>
        <w:rPr>
          <w:rFonts w:ascii="Calibri" w:hAnsi="Calibri"/>
          <w:color w:val="27AE60"/>
          <w:sz w:val="18"/>
        </w:rPr>
        <w:t xml:space="preserve">  ■ Phase 2 - Conception pédagogique personnalisée  </w:t>
      </w:r>
      <w:r>
        <w:rPr>
          <w:rFonts w:ascii="Calibri" w:hAnsi="Calibri"/>
          <w:color w:val="E67E22"/>
          <w:sz w:val="18"/>
        </w:rPr>
        <w:t xml:space="preserve">  ■ Phase 3 - Formation pilote avec groupe référent  </w:t>
      </w:r>
      <w:r>
        <w:rPr>
          <w:rFonts w:ascii="Calibri" w:hAnsi="Calibri"/>
          <w:color w:val="8E44AD"/>
          <w:sz w:val="18"/>
        </w:rPr>
        <w:t xml:space="preserve">  ■ Phase 4 - Déploiement formation en présentiel  </w:t>
      </w:r>
      <w:r>
        <w:rPr>
          <w:rFonts w:ascii="Calibri" w:hAnsi="Calibri"/>
          <w:color w:val="C0392B"/>
          <w:sz w:val="18"/>
        </w:rPr>
        <w:t xml:space="preserve">  ■ Phase 5 - Mise en place plateforme e-learning  </w:t>
      </w:r>
      <w:r>
        <w:rPr>
          <w:rFonts w:ascii="Calibri" w:hAnsi="Calibri"/>
          <w:color w:val="16A085"/>
          <w:sz w:val="18"/>
        </w:rPr>
        <w:t xml:space="preserve">  ■ Phase 6 - Accompagnement et suivi post-formation  </w:t>
      </w:r>
      <w:r>
        <w:rPr>
          <w:rFonts w:ascii="Calibri" w:hAnsi="Calibri"/>
          <w:color w:val="2E75B6"/>
          <w:sz w:val="18"/>
        </w:rPr>
        <w:t xml:space="preserve">  ■ Phase 7 - Bilan final et recommandations  </w:t>
      </w:r>
    </w:p>
    <w:sectPr w:rsidR="00FC693F" w:rsidRPr="0006063C" w:rsidSect="00034616"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Planning previsionnel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