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2E75B6"/>
          <w:sz w:val="28"/>
        </w:rPr>
        <w:t>ALMERA</w:t>
      </w:r>
    </w:p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IA -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r>
        <w:br w:type="page"/>
      </w:r>
    </w:p>
    <w:p>
      <w:pPr>
        <w:pStyle w:val="Heading1"/>
      </w:pPr>
      <w:r>
        <w:t>ANALYSE DE L'APPEL D'OFFRES MAIRIE DE LYON</w:t>
      </w:r>
    </w:p>
    <w:p>
      <w:pPr>
        <w:pStyle w:val="Heading2"/>
      </w:pPr>
      <w:r>
        <w:t>1. FORCES</w:t>
      </w:r>
    </w:p>
    <w:p>
      <w:r>
        <w:rPr>
          <w:rFonts w:ascii="Calibri" w:hAnsi="Calibri"/>
          <w:b/>
          <w:color w:val="1A3C6E"/>
          <w:sz w:val="22"/>
        </w:rPr>
        <w:t>Excellence technique et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Certification Qualiopi + RS6776 France Compétences (rare dans le secteur IA)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2 000+ personnes formées avec une note de 4,9/5 (35 avis Google)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Expertise reconnue : livre best-seller "L'IA et la génération de texte" (ENI)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Couverture complète des outils demandés (ChatGPT, Copilot, etc.)</w:t>
      </w:r>
    </w:p>
    <w:p>
      <w:r>
        <w:rPr>
          <w:rFonts w:ascii="Calibri" w:hAnsi="Calibri"/>
          <w:b/>
          <w:color w:val="1A3C6E"/>
          <w:sz w:val="22"/>
        </w:rPr>
        <w:t>Références institutionnelles solides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Caisse des Dépôts, CDC Croissance, Action Logement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CCI, Cap Métiers, Habitat Marseille Provence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Mix équilibré secteur privé/public démontrant la capacité d'adaptation</w:t>
      </w:r>
    </w:p>
    <w:p>
      <w:r>
        <w:rPr>
          <w:rFonts w:ascii="Calibri" w:hAnsi="Calibri"/>
          <w:b/>
          <w:color w:val="1A3C6E"/>
          <w:sz w:val="22"/>
        </w:rPr>
        <w:t>Proximité géographique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Bureau à Annecy (région Auvergne-Rhône-Alpes)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Connaissance du contexte local et facilité logistique</w:t>
      </w:r>
    </w:p>
    <w:p>
      <w:r>
        <w:rPr>
          <w:rFonts w:ascii="Calibri" w:hAnsi="Calibri"/>
          <w:b/>
          <w:color w:val="1A3C6E"/>
          <w:sz w:val="22"/>
        </w:rPr>
        <w:t>Approche structurée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Méthodologie en 4 étapes alignée sur la transformation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personnalisée aux différents métiers de la collectivité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post-formation via application dédiée</w:t>
      </w:r>
    </w:p>
    <w:p>
      <w:pPr>
        <w:pStyle w:val="Heading2"/>
      </w:pPr>
      <w:r>
        <w:t>2. FAIBLESSES</w:t>
      </w:r>
    </w:p>
    <w:p>
      <w:r>
        <w:rPr>
          <w:rFonts w:ascii="Calibri" w:hAnsi="Calibri"/>
          <w:b/>
          <w:color w:val="1A3C6E"/>
          <w:sz w:val="22"/>
        </w:rPr>
        <w:t>Inexpérience marchés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Risque d'erreurs formelles dans la réponse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Méconnaissance des codes et attentes spécifiques du public</w:t>
      </w:r>
    </w:p>
    <w:p>
      <w:r>
        <w:rPr>
          <w:rFonts w:ascii="Calibri" w:hAnsi="Calibri"/>
          <w:b/>
          <w:color w:val="1A3C6E"/>
          <w:sz w:val="22"/>
        </w:rPr>
        <w:t>Taille de l'organisation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Structure plus petite face à de potentiels gros organismes concurrents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Peut questionner sur la capacité à gérer 200 agents simultanément</w:t>
      </w:r>
    </w:p>
    <w:p>
      <w:r>
        <w:rPr>
          <w:rFonts w:ascii="Calibri" w:hAnsi="Calibri"/>
          <w:b/>
          <w:color w:val="1A3C6E"/>
          <w:sz w:val="22"/>
        </w:rPr>
        <w:t>Absence de références mairies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Aucune collectivité territoriale dans les références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Spécificités métiers municipaux à démontrer</w:t>
      </w:r>
    </w:p>
    <w:p>
      <w:pPr>
        <w:pStyle w:val="Heading2"/>
      </w:pPr>
      <w:r>
        <w:t>3. RISQUES</w:t>
      </w:r>
    </w:p>
    <w:p>
      <w:r>
        <w:rPr>
          <w:rFonts w:ascii="Calibri" w:hAnsi="Calibri"/>
          <w:b/>
          <w:color w:val="1A3C6E"/>
          <w:sz w:val="22"/>
        </w:rPr>
        <w:t>Piège prix (30% notation)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Sous-estimer ou sur-estimer face à la concurrence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Budget de 225€/agent : positionner intelligemment</w:t>
      </w:r>
    </w:p>
    <w:p>
      <w:r>
        <w:rPr>
          <w:rFonts w:ascii="Calibri" w:hAnsi="Calibri"/>
          <w:b/>
          <w:color w:val="1A3C6E"/>
          <w:sz w:val="22"/>
        </w:rPr>
        <w:t>Critère développement durable (10%)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Risque de négliger ce critère "mineur" qui peut faire la différence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Nécessite une réflexion spécifique sur l'impact environnemental</w:t>
      </w:r>
    </w:p>
    <w:p>
      <w:r>
        <w:rPr>
          <w:rFonts w:ascii="Calibri" w:hAnsi="Calibri"/>
          <w:b/>
          <w:color w:val="1A3C6E"/>
          <w:sz w:val="22"/>
        </w:rPr>
        <w:t>Aspect réglementaire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Erreurs de forme qui peuvent éliminer d'office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Non-respect des délais ou procédures</w:t>
      </w:r>
    </w:p>
    <w:p>
      <w:pPr>
        <w:pStyle w:val="Heading2"/>
      </w:pPr>
      <w:r>
        <w:t>4. RECOMMANDATIONS</w:t>
      </w:r>
    </w:p>
    <w:p>
      <w:pPr>
        <w:pStyle w:val="Heading3"/>
      </w:pPr>
      <w:r>
        <w:t>Action 1 : Sécuriser l'aspect formel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Faire relire le dossier par un expert marchés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Vérifier scrupuleusement tous les documents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Respecter le formalisme des réponses (DC1, DC2, ATTRI1, etc.)</w:t>
      </w:r>
    </w:p>
    <w:p>
      <w:pPr>
        <w:pStyle w:val="Heading3"/>
      </w:pPr>
      <w:r>
        <w:t>Action 2 : Valoriser l'expérience institutionnelle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Mettre en avant Caisse des Dépôts, CDC, Action Logement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Développer les parallèles entre ces missions et les enjeux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Obtenir des témoignages/recommandations de ces clients publics</w:t>
      </w:r>
    </w:p>
    <w:p>
      <w:pPr>
        <w:pStyle w:val="Heading3"/>
      </w:pPr>
      <w:r>
        <w:t>Action 3 : Construire une offre pédagogique différenciante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Proposer 3 parcours spécialisés : administratif, technique, encadrement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Intégrer des cas d'usage municipaux concrets (urbanisme, état civil, communication...)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Prévoir un dispositif d'évaluation et de certification interne</w:t>
      </w:r>
    </w:p>
    <w:p>
      <w:pPr>
        <w:pStyle w:val="Heading3"/>
      </w:pPr>
      <w:r>
        <w:t>Action 4 : Optimiser le positionnement prix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Analyser le budget : 225€/agent sur base 200 personnes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Proposer une approche modulaire avec options (base + approfondissements)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Inclure le suivi post-formation dans le prix de base</w:t>
      </w:r>
    </w:p>
    <w:p>
      <w:pPr>
        <w:pStyle w:val="Heading3"/>
      </w:pPr>
      <w:r>
        <w:t>Action 5 : Développer l'axe développement durable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aux outils IA pour optimiser les déplacements (réunions virtuelles)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Réduction papier via automatisation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Bilan carbone de la formation (local, outils numériques vs présentiel)</w:t>
      </w:r>
    </w:p>
    <w:p>
      <w:pPr>
        <w:pStyle w:val="Heading2"/>
      </w:pPr>
      <w:r>
        <w:t>5. ESTIMATION</w:t>
      </w:r>
    </w:p>
    <w:p>
      <w:r>
        <w:rPr>
          <w:rFonts w:ascii="Calibri" w:hAnsi="Calibri"/>
          <w:b/>
          <w:color w:val="1A3C6E"/>
          <w:sz w:val="22"/>
        </w:rPr>
        <w:t>PROBABILITÉ : MOYENNE-ÉLEVÉE (70%)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Profil technique très solide (40% du critère principal)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Références crédibles et méthodologie éprouvée (20% méthodologie)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Positionnement géographique favorable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Différenciation possible sur la qualité vs prix</w:t>
      </w:r>
    </w:p>
    <w:p>
      <w:r>
        <w:rPr>
          <w:rFonts w:ascii="Calibri" w:hAnsi="Calibri"/>
          <w:b/>
          <w:color w:val="1A3C6E"/>
          <w:sz w:val="22"/>
        </w:rPr>
        <w:t>Facteurs de succès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Excellence de nos certifications et références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Capacité à personnaliser l'offre aux métiers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Rapport qualité-prix attractif grâce au modèle économique</w:t>
      </w:r>
    </w:p>
    <w:p>
      <w:pPr>
        <w:pStyle w:val="Heading2"/>
      </w:pPr>
      <w:r>
        <w:t>6. DÉCISION</w:t>
      </w:r>
    </w:p>
    <w:p>
      <w:r>
        <w:rPr>
          <w:rFonts w:ascii="Calibri" w:hAnsi="Calibri"/>
          <w:b/>
          <w:color w:val="1A3C6E"/>
          <w:sz w:val="22"/>
        </w:rPr>
        <w:t>GO - CANDIDATER</w:t>
      </w:r>
    </w:p>
    <w:p>
      <w:r>
        <w:rPr>
          <w:rFonts w:ascii="Calibri" w:hAnsi="Calibri"/>
          <w:b/>
          <w:color w:val="1A3C6E"/>
          <w:sz w:val="22"/>
        </w:rPr>
        <w:t>Rationale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AO parfaitement dans notre cœur de métier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Budget cohérent avec notre modèle économique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Opportunité de gain d'expérience marchés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Potentiel de références municipales pour futurs AOs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Risques maîtrisables avec bonne préparation</w:t>
      </w:r>
    </w:p>
    <w:p>
      <w:r>
        <w:rPr>
          <w:rFonts w:ascii="Calibri" w:hAnsi="Calibri"/>
          <w:b/>
          <w:color w:val="1A3C6E"/>
          <w:sz w:val="22"/>
        </w:rPr>
        <w:t>Condition :</w:t>
      </w:r>
      <w:r>
        <w:rPr>
          <w:rFonts w:ascii="Calibri" w:hAnsi="Calibri"/>
          <w:color w:val="333333"/>
          <w:sz w:val="22"/>
        </w:rPr>
        <w:t xml:space="preserve"> Investir dans l'accompagnement juridique pour sécuriser l'aspect formel du dossier.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Document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