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de Couverture RC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a l 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ANALYSE DE COUVERTURE DU REGLEMENT DE CONSULTATION</w:t>
      </w:r>
    </w:p>
    <w:p>
      <w:pPr>
        <w:pStyle w:val="Heading2"/>
      </w:pPr>
      <w: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62%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7%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de couverture global : 77%</w:t>
      </w:r>
    </w:p>
    <w:p>
      <w:pPr>
        <w:pStyle w:val="Heading2"/>
      </w:pPr>
      <w:r>
        <w:t>Détail par exigence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Exigence du RC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 associé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Localisation dans le mémoire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de 200 agents municipaux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6 "Planning de réalisation" - 17 groupes de 12 personnes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Outils d'IA générative (ChatGPT, Copilot, etc.)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5 "Moyens techniques" - Liste complète des outils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Usages professionnels de l'IA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5 "Cas d'usage municipaux spécifiques"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Enjeux éthiques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9 "IA éthique" (titre visible mais contenu tronqué)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Développer entièrement la section sur l'éthique IA : transparence algorithmique, biais, responsabilité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Ateliers pratiques adaptés aux métiers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"70% pratique / 30% théorie" et cas d'usage par service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Stratégie de transformation numérique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"Analyse approfondie" et Section 3 étapes 1-2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 (20%)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3 "Approche structurée en 4 étapes" et "Pédagogie active"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différents métiers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Méthodologie pédagogique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"Diversité des métiers municipaux" et formation par groupes métiers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 (40%)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Expertise démontrée mais manque d'éléments sur l'évaluation des acquis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une grille d'évaluation détaillée des compétences et un système de validation par étapes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 (30%)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Prix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 tarifaire dans le mémoire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une section budgétaire détaillée avec décomposition par poste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Développement durable (10%)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Développement durable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9 partiellement visible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Compléter avec bilan carbone chiffré, indicateurs RSE mesurables, partenariats locaux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Moyens humains adaptés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4 présente l'équipe mais manque de CV détaillés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les CV des formateurs principaux et leurs références en secteur public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Suivi et évaluation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Qualité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7 "Démarche qualité" avec KPIs détaillés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</w:t>
            </w:r>
          </w:p>
        </w:tc>
      </w:tr>
    </w:tbl>
    <w:p/>
    <w:p>
      <w:pPr>
        <w:pStyle w:val="Heading2"/>
      </w:pPr>
      <w:r>
        <w:t>Actions prioritaires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Ajouter l'offre de prix détaillée</w:t>
      </w:r>
      <w:r>
        <w:rPr>
          <w:rFonts w:ascii="Calibri" w:hAnsi="Calibri"/>
          <w:color w:val="333333"/>
          <w:sz w:val="22"/>
        </w:rPr>
        <w:t xml:space="preserve"> (Impact critique sur notation 30%)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Créer une section budgétaire avec prix global, prix unitaire par agent, décomposition par poste (formation, supports, suivi)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Proposer des options tarifaires (avec/sans certification, durées variables)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Compléter la section "Développement durable"</w:t>
      </w:r>
      <w:r>
        <w:rPr>
          <w:rFonts w:ascii="Calibri" w:hAnsi="Calibri"/>
          <w:color w:val="333333"/>
          <w:sz w:val="22"/>
        </w:rPr>
        <w:t xml:space="preserve"> (Impact 10% + bonus RSE)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Quantifier l'empreinte carbone évitée (kg CO2 économisés)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des indicateurs RSE chiffrés (% formateurs locaux, % supports recyclés)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Mentionner l'insertion sociale et l'égalité femmes-hommes dans l'équipe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Développer entièrement les enjeux éthiques</w:t>
      </w:r>
      <w:r>
        <w:rPr>
          <w:rFonts w:ascii="Calibri" w:hAnsi="Calibri"/>
          <w:color w:val="333333"/>
          <w:sz w:val="22"/>
        </w:rPr>
        <w:t xml:space="preserve"> (Impact sur qualité technique)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un module dédié aux biais algorithmiques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Traiter la transparence des décisions IA en contexte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Aborder la protection des données personnelles et le RGPD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Renforcer la section moyens humains</w:t>
      </w:r>
      <w:r>
        <w:rPr>
          <w:rFonts w:ascii="Calibri" w:hAnsi="Calibri"/>
          <w:color w:val="333333"/>
          <w:sz w:val="22"/>
        </w:rPr>
        <w:t xml:space="preserve"> (Impact sur qualité technique)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Intégrer 2-3 CV types de formateurs avec expériences secteur public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Préciser les références clients en collectivités territoriales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la coordination pédagogique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Enrichir l'évaluation des acquis</w:t>
      </w:r>
      <w:r>
        <w:rPr>
          <w:rFonts w:ascii="Calibri" w:hAnsi="Calibri"/>
          <w:color w:val="333333"/>
          <w:sz w:val="22"/>
        </w:rPr>
        <w:t xml:space="preserve"> (Impact sur qualité technique)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une grille de compétences pré/post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Proposer un système de badges ou micro-certifications par module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les modalités d'évaluation pratique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