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800000" cy="566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6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1A3C6E"/>
          <w:sz w:val="36"/>
        </w:rPr>
        <w:t>PLANNING PREVISIONNEL DE REALISATION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Formation a l Intelligence Artificielle pour les agents de la Mairie de Lyon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0"/>
        <w:gridCol w:w="3500"/>
        <w:gridCol w:w="985"/>
        <w:gridCol w:w="985"/>
        <w:gridCol w:w="985"/>
        <w:gridCol w:w="985"/>
        <w:gridCol w:w="985"/>
        <w:gridCol w:w="985"/>
        <w:gridCol w:w="985"/>
        <w:gridCol w:w="985"/>
        <w:gridCol w:w="985"/>
        <w:gridCol w:w="985"/>
        <w:gridCol w:w="985"/>
        <w:gridCol w:w="985"/>
        <w:gridCol w:w="985"/>
        <w:gridCol w:w="985"/>
        <w:gridCol w:w="985"/>
        <w:gridCol w:w="985"/>
        <w:gridCol w:w="985"/>
        <w:gridCol w:w="985"/>
        <w:gridCol w:w="985"/>
        <w:gridCol w:w="985"/>
      </w:tblGrid>
      <w:tr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Livrables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S2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S3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S4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S5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S6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S7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S8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S9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S10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S11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S12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S13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S14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S15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S16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S17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S18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S19</w:t>
            </w:r>
          </w:p>
        </w:tc>
        <w:tc>
          <w:tcPr>
            <w:tcW w:type="dxa" w:w="68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S20</w:t>
            </w:r>
          </w:p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2E75B6"/>
                <w:sz w:val="18"/>
              </w:rPr>
              <w:t>Phase 1 - Lancement et diagnostic des besoins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Compte-rendu de cadrage, audit des besoins par service, grille d'évaluation initiale</w:t>
            </w:r>
          </w:p>
        </w:tc>
        <w:tc>
          <w:tcPr>
            <w:tcW w:type="dxa" w:w="985"/>
            <w:shd w:fill="2E75B6" w:val="clear"/>
          </w:tcPr>
          <w:p/>
        </w:tc>
        <w:tc>
          <w:tcPr>
            <w:tcW w:type="dxa" w:w="985"/>
            <w:shd w:fill="2E75B6" w:val="clear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27AE60"/>
                <w:sz w:val="18"/>
              </w:rPr>
              <w:t>Phase 2 - Conception pédagogique personnalisée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Programme détaillé, supports de formation adaptés, modules e-learning, guide pratique IA</w:t>
            </w:r>
          </w:p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27AE60" w:val="clear"/>
          </w:tcPr>
          <w:p/>
        </w:tc>
        <w:tc>
          <w:tcPr>
            <w:tcW w:type="dxa" w:w="985"/>
            <w:shd w:fill="27AE60" w:val="clear"/>
          </w:tcPr>
          <w:p/>
        </w:tc>
        <w:tc>
          <w:tcPr>
            <w:tcW w:type="dxa" w:w="985"/>
            <w:shd w:fill="27AE60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E67E22"/>
                <w:sz w:val="18"/>
              </w:rPr>
              <w:t>Phase 3 - Formation pilote avec groupe référent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Formation de 20 référents, retours d'expérience, ajustements pédagogiques</w:t>
            </w:r>
          </w:p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  <w:shd w:fill="E67E22" w:val="clear"/>
          </w:tcPr>
          <w:p/>
        </w:tc>
        <w:tc>
          <w:tcPr>
            <w:tcW w:type="dxa" w:w="985"/>
            <w:shd w:fill="E67E22" w:val="clear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8E44AD"/>
                <w:sz w:val="18"/>
              </w:rPr>
              <w:t>Phase 4 - Déploiement formation en présentiel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10 sessions de formation (20 agents par session), attestations de formation</w:t>
            </w:r>
          </w:p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8E44AD" w:val="clear"/>
          </w:tcPr>
          <w:p/>
        </w:tc>
        <w:tc>
          <w:tcPr>
            <w:tcW w:type="dxa" w:w="985"/>
            <w:shd w:fill="8E44AD" w:val="clear"/>
          </w:tcPr>
          <w:p/>
        </w:tc>
        <w:tc>
          <w:tcPr>
            <w:tcW w:type="dxa" w:w="985"/>
            <w:shd w:fill="8E44AD" w:val="clear"/>
          </w:tcPr>
          <w:p/>
        </w:tc>
        <w:tc>
          <w:tcPr>
            <w:tcW w:type="dxa" w:w="985"/>
            <w:shd w:fill="8E44AD" w:val="clear"/>
          </w:tcPr>
          <w:p/>
        </w:tc>
        <w:tc>
          <w:tcPr>
            <w:tcW w:type="dxa" w:w="985"/>
            <w:shd w:fill="8E44AD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C0392B"/>
                <w:sz w:val="18"/>
              </w:rPr>
              <w:t>Phase 5 - Plateforme e-learning et ressources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Accès plateforme digitale, ressources complémentaires, tutoriels vidéo</w:t>
            </w:r>
          </w:p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  <w:shd w:fill="C0392B" w:val="clear"/>
          </w:tcPr>
          <w:p/>
        </w:tc>
        <w:tc>
          <w:tcPr>
            <w:tcW w:type="dxa" w:w="985"/>
            <w:shd w:fill="C0392B" w:val="clear"/>
          </w:tcPr>
          <w:p/>
        </w:tc>
        <w:tc>
          <w:tcPr>
            <w:tcW w:type="dxa" w:w="985"/>
            <w:shd w:fill="C0392B" w:val="clear"/>
          </w:tcPr>
          <w:p/>
        </w:tc>
        <w:tc>
          <w:tcPr>
            <w:tcW w:type="dxa" w:w="985"/>
            <w:shd w:fill="C0392B" w:val="clear"/>
          </w:tcPr>
          <w:p/>
        </w:tc>
        <w:tc>
          <w:tcPr>
            <w:tcW w:type="dxa" w:w="985"/>
            <w:shd w:fill="C0392B" w:val="clear"/>
          </w:tcPr>
          <w:p/>
        </w:tc>
        <w:tc>
          <w:tcPr>
            <w:tcW w:type="dxa" w:w="985"/>
            <w:shd w:fill="C0392B" w:val="clear"/>
          </w:tcPr>
          <w:p/>
        </w:tc>
        <w:tc>
          <w:tcPr>
            <w:tcW w:type="dxa" w:w="985"/>
            <w:shd w:fill="C0392B" w:val="clear"/>
          </w:tcPr>
          <w:p/>
        </w:tc>
        <w:tc>
          <w:tcPr>
            <w:tcW w:type="dxa" w:w="985"/>
            <w:shd w:fill="C0392B" w:val="clear"/>
          </w:tcPr>
          <w:p/>
        </w:tc>
        <w:tc>
          <w:tcPr>
            <w:tcW w:type="dxa" w:w="985"/>
            <w:shd w:fill="C0392B" w:val="clear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16A085"/>
                <w:sz w:val="18"/>
              </w:rPr>
              <w:t>Phase 6 - Accompagnement et suivi individuel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Sessions de coaching, support technique, évaluation des acquis</w:t>
            </w:r>
          </w:p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16A085" w:val="clear"/>
          </w:tcPr>
          <w:p/>
        </w:tc>
        <w:tc>
          <w:tcPr>
            <w:tcW w:type="dxa" w:w="985"/>
            <w:shd w:fill="16A085" w:val="clear"/>
          </w:tcPr>
          <w:p/>
        </w:tc>
        <w:tc>
          <w:tcPr>
            <w:tcW w:type="dxa" w:w="985"/>
            <w:shd w:fill="16A08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2E75B6"/>
                <w:sz w:val="18"/>
              </w:rPr>
              <w:t>Phase 7 - Évaluation et bilan final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Questionnaires de satisfaction, rapport d'évaluation, recommandations d'amélioration</w:t>
            </w:r>
          </w:p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  <w:shd w:fill="2E75B6" w:val="clear"/>
          </w:tcPr>
          <w:p/>
        </w:tc>
        <w:tc>
          <w:tcPr>
            <w:tcW w:type="dxa" w:w="985"/>
            <w:shd w:fill="2E75B6" w:val="clear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  <w:tc>
          <w:tcPr>
            <w:tcW w:type="dxa" w:w="985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27AE60"/>
                <w:sz w:val="18"/>
              </w:rPr>
              <w:t>Phase 8 - Transfert de compétences et clôture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Restitution finale, plan d'actions post-formation, documentation complète</w:t>
            </w:r>
          </w:p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27AE60" w:val="clear"/>
          </w:tcPr>
          <w:p/>
        </w:tc>
        <w:tc>
          <w:tcPr>
            <w:tcW w:type="dxa" w:w="985"/>
            <w:shd w:fill="F5F5F5" w:val="clear"/>
          </w:tcPr>
          <w:p/>
        </w:tc>
        <w:tc>
          <w:tcPr>
            <w:tcW w:type="dxa" w:w="985"/>
            <w:shd w:fill="F5F5F5" w:val="clear"/>
          </w:tcPr>
          <w:p/>
        </w:tc>
      </w:tr>
    </w:tbl>
    <w:p/>
    <w:p>
      <w:pPr>
        <w:jc w:val="left"/>
      </w:pPr>
      <w:r>
        <w:rPr>
          <w:rFonts w:ascii="Calibri" w:hAnsi="Calibri"/>
          <w:b/>
          <w:color w:val="333333"/>
          <w:sz w:val="20"/>
        </w:rPr>
        <w:t xml:space="preserve">Legende : </w:t>
      </w:r>
      <w:r>
        <w:rPr>
          <w:rFonts w:ascii="Calibri" w:hAnsi="Calibri"/>
          <w:color w:val="2E75B6"/>
          <w:sz w:val="18"/>
        </w:rPr>
        <w:t xml:space="preserve">  ■ Phase 1 - Lancement et diagnostic des besoins  </w:t>
      </w:r>
      <w:r>
        <w:rPr>
          <w:rFonts w:ascii="Calibri" w:hAnsi="Calibri"/>
          <w:color w:val="27AE60"/>
          <w:sz w:val="18"/>
        </w:rPr>
        <w:t xml:space="preserve">  ■ Phase 2 - Conception pédagogique personnalisée  </w:t>
      </w:r>
      <w:r>
        <w:rPr>
          <w:rFonts w:ascii="Calibri" w:hAnsi="Calibri"/>
          <w:color w:val="E67E22"/>
          <w:sz w:val="18"/>
        </w:rPr>
        <w:t xml:space="preserve">  ■ Phase 3 - Formation pilote avec groupe référent  </w:t>
      </w:r>
      <w:r>
        <w:rPr>
          <w:rFonts w:ascii="Calibri" w:hAnsi="Calibri"/>
          <w:color w:val="8E44AD"/>
          <w:sz w:val="18"/>
        </w:rPr>
        <w:t xml:space="preserve">  ■ Phase 4 - Déploiement formation en présentiel  </w:t>
      </w:r>
      <w:r>
        <w:rPr>
          <w:rFonts w:ascii="Calibri" w:hAnsi="Calibri"/>
          <w:color w:val="C0392B"/>
          <w:sz w:val="18"/>
        </w:rPr>
        <w:t xml:space="preserve">  ■ Phase 5 - Plateforme e-learning et ressources  </w:t>
      </w:r>
      <w:r>
        <w:rPr>
          <w:rFonts w:ascii="Calibri" w:hAnsi="Calibri"/>
          <w:color w:val="16A085"/>
          <w:sz w:val="18"/>
        </w:rPr>
        <w:t xml:space="preserve">  ■ Phase 6 - Accompagnement et suivi individuel  </w:t>
      </w:r>
      <w:r>
        <w:rPr>
          <w:rFonts w:ascii="Calibri" w:hAnsi="Calibri"/>
          <w:color w:val="2E75B6"/>
          <w:sz w:val="18"/>
        </w:rPr>
        <w:t xml:space="preserve">  ■ Phase 7 - Évaluation et bilan final  </w:t>
      </w:r>
      <w:r>
        <w:rPr>
          <w:rFonts w:ascii="Calibri" w:hAnsi="Calibri"/>
          <w:color w:val="27AE60"/>
          <w:sz w:val="18"/>
        </w:rPr>
        <w:t xml:space="preserve">  ■ Phase 8 - Transfert de compétences et clôture  </w:t>
      </w:r>
    </w:p>
    <w:sectPr w:rsidR="00FC693F" w:rsidRPr="0006063C" w:rsidSect="00034616">
      <w:footerReference w:type="default" r:id="rId10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Almera - Planning previsionnel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