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906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mer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067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b/>
          <w:color w:val="1A3C6E"/>
          <w:sz w:val="56"/>
        </w:rPr>
        <w:t>Analyse Go / No-Go</w:t>
      </w:r>
    </w:p>
    <w:p/>
    <w:p>
      <w:pPr>
        <w:jc w:val="center"/>
      </w:pPr>
      <w:r>
        <w:rPr>
          <w:rFonts w:ascii="Calibri" w:hAnsi="Calibri"/>
          <w:color w:val="666666"/>
          <w:sz w:val="28"/>
        </w:rPr>
        <w:t>Actions de formation dans le cadre de campusAtlas Blockchain et Numérique Responsable</w:t>
      </w:r>
    </w:p>
    <w:p/>
    <w:p/>
    <w:p>
      <w:pPr>
        <w:jc w:val="center"/>
      </w:pPr>
      <w:r>
        <w:rPr>
          <w:color w:val="2E75B6"/>
        </w:rPr>
        <w:t>__________________________________________________</w:t>
      </w:r>
    </w:p>
    <w:p/>
    <w:p>
      <w:pPr>
        <w:jc w:val="center"/>
      </w:pPr>
      <w:r>
        <w:rPr>
          <w:rFonts w:ascii="Calibri" w:hAnsi="Calibri"/>
          <w:color w:val="666666"/>
          <w:sz w:val="20"/>
        </w:rPr>
        <w:t>Almera - Organisme de formation certifié Qualiopi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Spécialiste en Intelligence Artificielle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contact@almera.one | almera.one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Date : 03/04/2026</w:t>
      </w:r>
    </w:p>
    <w:p>
      <w:r>
        <w:br w:type="page"/>
      </w:r>
    </w:p>
    <w:p>
      <w:pPr>
        <w:pStyle w:val="Heading1"/>
      </w:pPr>
      <w:r>
        <w:t>ANALYSE APPEL D'OFFRES - OPCO-ATLAS</w:t>
      </w:r>
    </w:p>
    <w:p>
      <w:pPr>
        <w:pStyle w:val="Heading2"/>
      </w:pPr>
      <w:r>
        <w:t>1. SCORING PAR CRITÈRE DE NOTATION</w:t>
      </w:r>
    </w:p>
    <w:p>
      <w:r>
        <w:rPr>
          <w:rFonts w:ascii="Calibri" w:hAnsi="Calibri"/>
          <w:b/>
          <w:color w:val="1A3C6E"/>
          <w:sz w:val="22"/>
        </w:rPr>
        <w:t>⚠️ ALERTE : Critères de notation non précisés dans l'AO fourni</w:t>
      </w:r>
    </w:p>
    <w:p>
      <w:r>
        <w:rPr>
          <w:rFonts w:ascii="Calibri" w:hAnsi="Calibri"/>
          <w:color w:val="333333"/>
          <w:sz w:val="22"/>
        </w:rPr>
        <w:t>Basé sur les standards OPCO, estimation des critères probables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Critère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Poids estimé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 Almera /10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Score pondéré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Points forts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Axes d'amélioration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Qualité technique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50%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8.5/10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42.5/100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Certification Qualiopi + RS6776, expertise IA reconnue, 2000+ formés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Manque expérience blockchain spécifique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Méthodologie pédagogique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25%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9/10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22.5/100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Approche 4 étapes structurée, formations personnalisées, suivi post-formation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-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Références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15%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8/10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12/100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Grands comptes (Orange, Carrefour, Eiffage), organismes publics (CDC, CCI)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Peu de références OPCO sectoriels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Prix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10%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7/10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7/100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Tarifs compétitifs (1100€/jour vs 1500€+ grands organismes)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-</w:t>
            </w:r>
          </w:p>
        </w:tc>
      </w:tr>
    </w:tbl>
    <w:p/>
    <w:p>
      <w:r>
        <w:rPr>
          <w:rFonts w:ascii="Calibri" w:hAnsi="Calibri"/>
          <w:b/>
          <w:color w:val="1A3C6E"/>
          <w:sz w:val="22"/>
        </w:rPr>
        <w:t>SCORE GLOBAL ESTIMÉ : 84/100</w:t>
      </w:r>
    </w:p>
    <w:p>
      <w:pPr>
        <w:pStyle w:val="Heading2"/>
      </w:pPr>
      <w:r>
        <w:t>2. ANALYSE CONCURRENTIELLE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Concurrent type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Forces vs nous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Faiblesses vs nous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Notre stratégie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Grands organismes (CEGOS, Demos)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Notoriété, expérience AO publics, catalogue blockchain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Prix élevés, formations standardisées, moins d'expertise IA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Mettre en avant expertise IA + prix compétitifs + personnalisation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Organismes sectoriels OPCO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Connaissance métiers Atlas, historique OPCO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Expertise IA limitée, innovation moindre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Proposer hybridation IA/blockchain + numérique responsable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Freelances spécialisés blockchain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Expertise technique pointue blockchain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Pas Qualiopi, capacité limitée, références faibles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Capitaliser sur certifications + références grands comptes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Universités/écoles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Légitimité académique, tarifs bas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Peu d'expérience entreprise, approche théorique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Approche opérationnelle + cas d'usage concrets</w:t>
            </w:r>
          </w:p>
        </w:tc>
      </w:tr>
    </w:tbl>
    <w:p/>
    <w:p>
      <w:pPr>
        <w:pStyle w:val="Heading2"/>
      </w:pPr>
      <w:r>
        <w:t>3. FORCES / FAIBLESSES / RISQUES / RECOMMANDATIONS</w:t>
      </w:r>
    </w:p>
    <w:p>
      <w:pPr>
        <w:pStyle w:val="Heading3"/>
      </w:pPr>
      <w:r>
        <w:t>FORCES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Certifications rares</w:t>
      </w:r>
      <w:r>
        <w:rPr>
          <w:rFonts w:ascii="Calibri" w:hAnsi="Calibri"/>
          <w:color w:val="333333"/>
          <w:sz w:val="22"/>
        </w:rPr>
        <w:t xml:space="preserve"> : Qualiopi + RS6776 IA générative (différenciation forte)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Références institutionnelles solides</w:t>
      </w:r>
      <w:r>
        <w:rPr>
          <w:rFonts w:ascii="Calibri" w:hAnsi="Calibri"/>
          <w:color w:val="333333"/>
          <w:sz w:val="22"/>
        </w:rPr>
        <w:t xml:space="preserve"> : CDC, Action Logement, CCI (crédibilité secteur public)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Expertise IA reconnue</w:t>
      </w:r>
      <w:r>
        <w:rPr>
          <w:rFonts w:ascii="Calibri" w:hAnsi="Calibri"/>
          <w:color w:val="333333"/>
          <w:sz w:val="22"/>
        </w:rPr>
        <w:t xml:space="preserve"> : 2000+ formés, livre ENI, Hub France IA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Approche structurée</w:t>
      </w:r>
      <w:r>
        <w:rPr>
          <w:rFonts w:ascii="Calibri" w:hAnsi="Calibri"/>
          <w:color w:val="333333"/>
          <w:sz w:val="22"/>
        </w:rPr>
        <w:t xml:space="preserve"> : Méthodologie 4 étapes éprouvée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Géographie</w:t>
      </w:r>
      <w:r>
        <w:rPr>
          <w:rFonts w:ascii="Calibri" w:hAnsi="Calibri"/>
          <w:color w:val="333333"/>
          <w:sz w:val="22"/>
        </w:rPr>
        <w:t xml:space="preserve"> : Implantation Paris (75) = conformité localisation</w:t>
      </w:r>
    </w:p>
    <w:p>
      <w:pPr>
        <w:pStyle w:val="Heading3"/>
      </w:pPr>
      <w:r>
        <w:t>FAIBLESSES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Expérience blockchain limitée</w:t>
      </w:r>
      <w:r>
        <w:rPr>
          <w:rFonts w:ascii="Calibri" w:hAnsi="Calibri"/>
          <w:color w:val="333333"/>
          <w:sz w:val="22"/>
        </w:rPr>
        <w:t xml:space="preserve"> : Spécialisation IA mais pas blockchain explicite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Nouveauté marchés publics</w:t>
      </w:r>
      <w:r>
        <w:rPr>
          <w:rFonts w:ascii="Calibri" w:hAnsi="Calibri"/>
          <w:color w:val="333333"/>
          <w:sz w:val="22"/>
        </w:rPr>
        <w:t xml:space="preserve"> : Risque sur formalisme administratif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Pas de références OPCO Atlas</w:t>
      </w:r>
      <w:r>
        <w:rPr>
          <w:rFonts w:ascii="Calibri" w:hAnsi="Calibri"/>
          <w:color w:val="333333"/>
          <w:sz w:val="22"/>
        </w:rPr>
        <w:t xml:space="preserve"> : Méconnaissance métiers spécifiques</w:t>
      </w:r>
    </w:p>
    <w:p>
      <w:pPr>
        <w:pStyle w:val="Heading3"/>
      </w:pPr>
      <w:r>
        <w:t>RISQUES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Hors sujet blockchain</w:t>
      </w:r>
      <w:r>
        <w:rPr>
          <w:rFonts w:ascii="Calibri" w:hAnsi="Calibri"/>
          <w:color w:val="333333"/>
          <w:sz w:val="22"/>
        </w:rPr>
        <w:t xml:space="preserve"> : Ne pas compenser le manque d'expertise blockchain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Sur-vendre l'IA</w:t>
      </w:r>
      <w:r>
        <w:rPr>
          <w:rFonts w:ascii="Calibri" w:hAnsi="Calibri"/>
          <w:color w:val="333333"/>
          <w:sz w:val="22"/>
        </w:rPr>
        <w:t xml:space="preserve"> : L'AO couvre blockchain ET numérique responsable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Sous-estimer le formalisme</w:t>
      </w:r>
      <w:r>
        <w:rPr>
          <w:rFonts w:ascii="Calibri" w:hAnsi="Calibri"/>
          <w:color w:val="333333"/>
          <w:sz w:val="22"/>
        </w:rPr>
        <w:t xml:space="preserve"> : Élimination sur critères administratifs</w:t>
      </w:r>
    </w:p>
    <w:p>
      <w:pPr>
        <w:pStyle w:val="Heading3"/>
      </w:pPr>
      <w:r>
        <w:t>5 RECOMMANDATIONS ACTIONNABLES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COMBLER LE GAP BLOCKCHAIN</w:t>
      </w:r>
      <w:r>
        <w:rPr>
          <w:rFonts w:ascii="Calibri" w:hAnsi="Calibri"/>
          <w:color w:val="333333"/>
          <w:sz w:val="22"/>
        </w:rPr>
        <w:t xml:space="preserve"> : Recruter un expert blockchain freelance, documenter sa CV et références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CRÉER UN PONT IA-BLOCKCHAIN</w:t>
      </w:r>
      <w:r>
        <w:rPr>
          <w:rFonts w:ascii="Calibri" w:hAnsi="Calibri"/>
          <w:color w:val="333333"/>
          <w:sz w:val="22"/>
        </w:rPr>
        <w:t xml:space="preserve"> : Proposer module "IA appliquée à la blockchain" (traçabilité, smart contracts IA)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CIBLER LES MÉTIERS ATLAS</w:t>
      </w:r>
      <w:r>
        <w:rPr>
          <w:rFonts w:ascii="Calibri" w:hAnsi="Calibri"/>
          <w:color w:val="333333"/>
          <w:sz w:val="22"/>
        </w:rPr>
        <w:t xml:space="preserve"> : Adapter exemples aux secteurs Atlas (transport, logistique, hospitalité)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VALORISER LE NUMÉRIQUE RESPONSABLE</w:t>
      </w:r>
      <w:r>
        <w:rPr>
          <w:rFonts w:ascii="Calibri" w:hAnsi="Calibri"/>
          <w:color w:val="333333"/>
          <w:sz w:val="22"/>
        </w:rPr>
        <w:t xml:space="preserve"> : Intégrer l'éthique IA dans l'approche numérique responsable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SOIGNER L'ADMINISTRATIF</w:t>
      </w:r>
      <w:r>
        <w:rPr>
          <w:rFonts w:ascii="Calibri" w:hAnsi="Calibri"/>
          <w:color w:val="333333"/>
          <w:sz w:val="22"/>
        </w:rPr>
        <w:t xml:space="preserve"> : Triple vérification docs obligatoires + délais</w:t>
      </w:r>
    </w:p>
    <w:p>
      <w:pPr>
        <w:pStyle w:val="Heading2"/>
      </w:pPr>
      <w:r>
        <w:t>4. CHECKLIST DOCUMENTS REQUIS</w:t>
      </w:r>
    </w:p>
    <w:p>
      <w:pPr>
        <w:pStyle w:val="Heading3"/>
      </w:pPr>
      <w:r>
        <w:t>Documents administratifs obligatoires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DC1 (Lettre de candidature)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DC2 (Déclaration du candidat)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ATTRI1 (Déclaration de candidature - attribution)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Kbis de moins de 3 mois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Attestation fiscale (moins de 6 mois)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Attestation sociale URSSAF (moins de 6 mois)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Attestation assurance responsabilité civile professionnelle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Liasse fiscale ou bilan comptable</w:t>
      </w:r>
    </w:p>
    <w:p>
      <w:pPr>
        <w:pStyle w:val="Heading3"/>
      </w:pPr>
      <w:r>
        <w:t>Documents Almera spécifiques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Certificat Qualiopi (actions de formation)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Certification RS6776 France Compétences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Attestation Activateur France Num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Justificatifs Hub France IA et French Tech</w:t>
      </w:r>
    </w:p>
    <w:p>
      <w:pPr>
        <w:pStyle w:val="Heading3"/>
      </w:pPr>
      <w:r>
        <w:t>Mémoire technique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Compréhension des enjeux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Méthodologie pédagogique détaillée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Programme de formation proposé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CV formateurs (inclure expert blockchain)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Références clients avec contacts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Planning et organisation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Moyens techniques et pédagogiques</w:t>
      </w:r>
    </w:p>
    <w:p>
      <w:pPr>
        <w:pStyle w:val="Heading2"/>
      </w:pPr>
      <w:r>
        <w:t>5. ESTIMATION TEMPS DE PRÉPARATION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Tâche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Temps estimé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Qui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Automatisé ?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Lecture DCE complet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Direction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Recherche expert blockchain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4h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Direction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Génération mémoire technique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10min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AO Hunter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✅ Oui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Personnalisation blockchain/métiers Atlas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3h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Direction + Expert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Relecture et validation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Direction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Préparation pièces administratives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2h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Administration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Montage et dépôt dossier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Administration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</w:t>
            </w:r>
          </w:p>
        </w:tc>
      </w:tr>
    </w:tbl>
    <w:p/>
    <w:p>
      <w:r>
        <w:rPr>
          <w:rFonts w:ascii="Calibri" w:hAnsi="Calibri"/>
          <w:b/>
          <w:color w:val="1A3C6E"/>
          <w:sz w:val="22"/>
        </w:rPr>
        <w:t>TOTAL : 1.5 jours ouvrés</w:t>
      </w:r>
    </w:p>
    <w:p>
      <w:r>
        <w:rPr>
          <w:rFonts w:ascii="Calibri" w:hAnsi="Calibri"/>
          <w:b/>
          <w:color w:val="1A3C6E"/>
          <w:sz w:val="22"/>
        </w:rPr>
        <w:t>Date limite recommandée pour commencer : J-5 avant échéance</w:t>
      </w:r>
    </w:p>
    <w:p>
      <w:pPr>
        <w:pStyle w:val="Heading2"/>
      </w:pPr>
      <w:r>
        <w:t>6. DÉCISION GO / NO-GO</w:t>
      </w:r>
    </w:p>
    <w:p>
      <w:pPr>
        <w:pStyle w:val="Heading3"/>
      </w:pPr>
      <w:r>
        <w:t>Probabilité de succès : 70%</w:t>
      </w:r>
    </w:p>
    <w:p>
      <w:r>
        <w:rPr>
          <w:rFonts w:ascii="Calibri" w:hAnsi="Calibri"/>
          <w:b/>
          <w:color w:val="1A3C6E"/>
          <w:sz w:val="22"/>
        </w:rPr>
        <w:t>Justification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Score technique élevé (84/100)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Différenciation forte sur l'IA + certifications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Références crédibles secteur public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Prix compétitifs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MAIS : Gap blockchain à combler absolument</w:t>
      </w:r>
    </w:p>
    <w:p>
      <w:pPr>
        <w:pStyle w:val="Heading3"/>
      </w:pPr>
      <w:r>
        <w:t>DÉCISION : GO</w:t>
      </w:r>
    </w:p>
    <w:p>
      <w:pPr>
        <w:pStyle w:val="Heading3"/>
      </w:pPr>
      <w:r>
        <w:t>Conditions de succès :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Recruter un expert blockchain</w:t>
      </w:r>
      <w:r>
        <w:rPr>
          <w:rFonts w:ascii="Calibri" w:hAnsi="Calibri"/>
          <w:color w:val="333333"/>
          <w:sz w:val="22"/>
        </w:rPr>
        <w:t xml:space="preserve"> avant J-10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Créer une offre hybride IA-Blockchain</w:t>
      </w:r>
      <w:r>
        <w:rPr>
          <w:rFonts w:ascii="Calibri" w:hAnsi="Calibri"/>
          <w:color w:val="333333"/>
          <w:sz w:val="22"/>
        </w:rPr>
        <w:t xml:space="preserve"> innovante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Adapter 100% aux métiers Atlas</w:t>
      </w:r>
      <w:r>
        <w:rPr>
          <w:rFonts w:ascii="Calibri" w:hAnsi="Calibri"/>
          <w:color w:val="333333"/>
          <w:sz w:val="22"/>
        </w:rPr>
        <w:t xml:space="preserve"> (transport, logistique, hospitalité)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Soigner le formalisme administratif</w:t>
      </w:r>
      <w:r>
        <w:rPr>
          <w:rFonts w:ascii="Calibri" w:hAnsi="Calibri"/>
          <w:color w:val="333333"/>
          <w:sz w:val="22"/>
        </w:rPr>
        <w:t xml:space="preserve"> (triple contrôle)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Proposer un prix agressif</w:t>
      </w:r>
      <w:r>
        <w:rPr>
          <w:rFonts w:ascii="Calibri" w:hAnsi="Calibri"/>
          <w:color w:val="333333"/>
          <w:sz w:val="22"/>
        </w:rPr>
        <w:t xml:space="preserve"> pour compenser la nouveauté</w:t>
      </w:r>
    </w:p>
    <w:p>
      <w:r>
        <w:rPr>
          <w:rFonts w:ascii="Calibri" w:hAnsi="Calibri"/>
          <w:b/>
          <w:color w:val="1A3C6E"/>
          <w:sz w:val="22"/>
        </w:rPr>
        <w:t>L'opportunité est forte : OPCO Atlas cherche probablement de l'innovation sur blockchain + IA. Notre expertise IA + approche structurée peuvent faire la différence.</w:t>
      </w:r>
    </w:p>
    <w:sectPr w:rsidR="00FC693F" w:rsidRPr="0006063C" w:rsidSect="00034616"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Almera - Document confidentiel  | 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