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Bordereau de Prix Unitaires / DPGF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Actions de formation dans le cadre de campusAtlas Blockchain et Numérique Responsable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BORDEREAU DE PRIX UNITAIRES (BPU)</w:t>
      </w:r>
    </w:p>
    <w:p>
      <w:r>
        <w:rPr>
          <w:rFonts w:ascii="Calibri" w:hAnsi="Calibri"/>
          <w:b/>
          <w:color w:val="1A3C6E"/>
          <w:sz w:val="22"/>
        </w:rPr>
        <w:t>AI MENTOR (Almera)</w:t>
      </w:r>
    </w:p>
    <w:p>
      <w:r>
        <w:rPr>
          <w:rFonts w:ascii="Calibri" w:hAnsi="Calibri"/>
          <w:color w:val="333333"/>
          <w:sz w:val="22"/>
        </w:rPr>
        <w:t>SIRET : 98900455100010</w:t>
      </w:r>
    </w:p>
    <w:p>
      <w:r>
        <w:rPr>
          <w:rFonts w:ascii="Calibri" w:hAnsi="Calibri"/>
          <w:color w:val="333333"/>
          <w:sz w:val="22"/>
        </w:rPr>
        <w:t>TVA : Exonérée (article 261-4-4 du CGI)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Désignation de la prestation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Unité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Prix unitaire HT (EUR)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Observations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formation en présentiel (groupe de 12 max)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Formateur expert + supports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formation en distanciel (groupe de 12 max)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Plateforme visio incluse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préparation / personnalisation des contenus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Adaptation aux besoins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 de suivi post-formation / hotline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Support technique et pédagogique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coaching individuel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1 200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Formateur dédié 1:1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Accès plateforme e-learning (par stagiaire)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Accès 6 mois inclus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Certification RS6776 (par stagiaire, tarif groupe)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+ e-learning + jury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diagnostic / audit des besoins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Analyse préalable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Frais de déplacement (forfait journalier)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Forfait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Hors Île-de-France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1"/>
      </w:pPr>
      <w:r>
        <w:t>DÉCOMPOSITION DU PRIX GLOBAL FORFAITAIRE (DPGF)</w:t>
      </w:r>
    </w:p>
    <w:p>
      <w:pPr>
        <w:pStyle w:val="Heading2"/>
      </w:pPr>
      <w:r>
        <w:t>Formation Blockchain et Numérique Responsable - OPCO ATLAS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 / Prestation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 HT (EUR)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HT (EUR)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PHASE PRÉPARATOIRE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1.1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Diagnostic des besoins et audit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1.2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Personnalisation des contenus Blockchain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1 600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1.3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Personnalisation des contenus Numérique Responsable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1 600</w:t>
            </w:r>
          </w:p>
        </w:tc>
      </w:tr>
      <w:tr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Sous-total Phase 1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4 000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 DES AGENTS</w:t>
            </w:r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2.1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Blockchain (4 groupes × 2 jours)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8 800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2.2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Numérique Responsable (4 groupes × 2 jours)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8 800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2.3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Sessions de coaching individuel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1 200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3 600</w:t>
            </w:r>
          </w:p>
        </w:tc>
      </w:tr>
      <w:tr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Sous-total Phase 2</w:t>
            </w:r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21 200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RESSOURCES DIGITALES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3.1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Accès e-learning Blockchain (48 stagiaires)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48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7 200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3.2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Accès e-learning Numérique Responsable (48 stagiaires)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7 200</w:t>
            </w:r>
          </w:p>
        </w:tc>
      </w:tr>
      <w:tr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Sous-total Phase 3</w:t>
            </w:r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14 400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SUIVI POST-FORMATION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4.1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Hotline et accompagnement (32 heures sur 3 mois)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4 800</w:t>
            </w:r>
          </w:p>
        </w:tc>
      </w:tr>
      <w:tr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Sous-total Phase 4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4 800</w:t>
            </w:r>
          </w:p>
        </w:tc>
      </w:tr>
    </w:tbl>
    <w:p/>
    <w:p>
      <w:pPr>
        <w:pStyle w:val="Heading3"/>
      </w:pPr>
      <w:r>
        <w:t>TOTAL BASE | | | | | 44 400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OPTION : CERTIFICATION RS6776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Prestation optionnelle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 HT (EUR)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HT (EUR)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5.1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Certification RS6776 (stagiaires volontaires)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19 200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RÉCAPITULATIF FINANCIER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Montant HT (EUR)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Sous-total formation base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44 400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Option certification RS6776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19 200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TOTAL GÉNÉRAL (avec option)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63 600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TVA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Exonérée (art. 261-4-4 CGI)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TOTAL TTC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63 600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r>
        <w:rPr>
          <w:rFonts w:ascii="Calibri" w:hAnsi="Calibri"/>
          <w:b/>
          <w:color w:val="1A3C6E"/>
          <w:sz w:val="22"/>
        </w:rPr>
        <w:t>Notes importantes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Prix fermes et non révisables pour la durée du marché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TVA exonérée conformément à l'article 261-4-4 du Code Général des Impôts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Financement OPCO possible pour les entreprises adhérentes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La certification RS6776 est proposée en option selon les besoins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Supports de formation et accès e-learning inclus pendant 6 mois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