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90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06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Analyse de Couverture RC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Actions de formation dans le cadre de campusAtlas Blockchain et Numérique Responsable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certifié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Spécialiste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03/04/2026</w:t>
      </w:r>
    </w:p>
    <w:p>
      <w:r>
        <w:br w:type="page"/>
      </w:r>
    </w:p>
    <w:p>
      <w:pPr>
        <w:pStyle w:val="Heading1"/>
      </w:pPr>
      <w:r>
        <w:t>ANALYSE DE COUVERTURE DU REGLEMENT DE CONSULTATION</w:t>
      </w:r>
    </w:p>
    <w:p>
      <w:pPr>
        <w:pStyle w:val="Heading2"/>
      </w:pPr>
      <w:r>
        <w:t>Synthèse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135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Couvert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0%</w:t>
            </w:r>
          </w:p>
        </w:tc>
      </w:tr>
      <w:tr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Partiellement couvert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</w:t>
            </w:r>
          </w:p>
        </w:tc>
        <w:tc>
          <w:tcPr>
            <w:tcW w:type="dxa" w:w="3135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Non couvert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0%</w:t>
            </w:r>
          </w:p>
        </w:tc>
      </w:tr>
    </w:tbl>
    <w:p/>
    <w:p>
      <w:r>
        <w:rPr>
          <w:rFonts w:ascii="Calibri" w:hAnsi="Calibri"/>
          <w:b/>
          <w:color w:val="1A3C6E"/>
          <w:sz w:val="22"/>
        </w:rPr>
        <w:t>Score de couverture global : IMPOSSIBLE À ÉVALUER</w:t>
      </w:r>
    </w:p>
    <w:p>
      <w:pPr>
        <w:pStyle w:val="Heading2"/>
      </w:pPr>
      <w:r>
        <w:t>Problème majeur identifié</w:t>
      </w:r>
    </w:p>
    <w:p>
      <w:r>
        <w:rPr>
          <w:rFonts w:ascii="Calibri" w:hAnsi="Calibri"/>
          <w:b/>
          <w:color w:val="1A3C6E"/>
          <w:sz w:val="22"/>
        </w:rPr>
        <w:t>RÈGLEMENT DE CONSULTATION INCOMPLET</w:t>
      </w:r>
      <w:r>
        <w:rPr>
          <w:rFonts w:ascii="Calibri" w:hAnsi="Calibri"/>
          <w:color w:val="333333"/>
          <w:sz w:val="22"/>
        </w:rPr>
        <w:t xml:space="preserve"> : Le document fourni ne contient qu'une ligne descriptive générale "Actions de formation dans le cadre de campusAtlas Blockchain et Numérique Responsable" sans aucune spécification technique, critère de notation, ou exigence détaillée.</w:t>
      </w:r>
    </w:p>
    <w:p>
      <w:pPr>
        <w:pStyle w:val="Heading2"/>
      </w:pPr>
      <w:r>
        <w:t>Éléments manquants critiques pour l'analyse</w:t>
      </w:r>
    </w:p>
    <w:p>
      <w:pPr>
        <w:pStyle w:val="Heading3"/>
      </w:pPr>
      <w:r>
        <w:t>Dans le RC/DCE (non fournis)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Élément manquant</w:t>
            </w:r>
          </w:p>
        </w:tc>
        <w:tc>
          <w:tcPr>
            <w:tcW w:type="dxa" w:w="4703"/>
            <w:shd w:fill="2E75B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 sur l'analyse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Critères de notation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Impossible d'évaluer la conformité aux attentes de l'acheteur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Exigences techniques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Aucune vérification possible des spécifications techniques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Modalités pédagogiques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Pas de validation du format de formation attendu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Livrables attendus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Impossible de vérifier l'adéquation de l'offre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Budget/contraintes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Aucune évaluation de la pertinence économique</w:t>
            </w:r>
          </w:p>
        </w:tc>
      </w:tr>
      <w:tr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Planning/délais</w:t>
            </w:r>
          </w:p>
        </w:tc>
        <w:tc>
          <w:tcPr>
            <w:tcW w:type="dxa" w:w="4703"/>
            <w:shd w:fill="D6E4F0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Pas de vérification des échéances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A3C6E"/>
                <w:sz w:val="20"/>
              </w:rPr>
              <w:t>Qualifications requises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333333"/>
                <w:sz w:val="20"/>
              </w:rPr>
              <w:t>Impossible de valider l'équipe proposée</w:t>
            </w:r>
          </w:p>
        </w:tc>
      </w:tr>
    </w:tbl>
    <w:p/>
    <w:p>
      <w:pPr>
        <w:pStyle w:val="Heading2"/>
      </w:pPr>
      <w:r>
        <w:t>Recommandations urgentes</w:t>
      </w:r>
    </w:p>
    <w:p>
      <w:pPr>
        <w:pStyle w:val="Heading3"/>
      </w:pPr>
      <w:r>
        <w:t>1. Obtenir le RC complet</w:t>
      </w:r>
    </w:p>
    <w:p>
      <w:r>
        <w:rPr>
          <w:rFonts w:ascii="Calibri" w:hAnsi="Calibri"/>
          <w:b/>
          <w:color w:val="1A3C6E"/>
          <w:sz w:val="22"/>
        </w:rPr>
        <w:t>Action</w:t>
      </w:r>
      <w:r>
        <w:rPr>
          <w:rFonts w:ascii="Calibri" w:hAnsi="Calibri"/>
          <w:color w:val="333333"/>
          <w:sz w:val="22"/>
        </w:rPr>
        <w:t xml:space="preserve"> : Demander à OPCO-ATLAS le règlement de consultation détaillé incluant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Cahier des charges technique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Critères de notation et pondération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Modalités d'exécution attendues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Grille d'évaluation des offres</w:t>
      </w:r>
    </w:p>
    <w:p>
      <w:pPr>
        <w:pStyle w:val="Heading3"/>
      </w:pPr>
      <w:r>
        <w:t>2. Vérifier les documents manquants</w:t>
      </w:r>
    </w:p>
    <w:p>
      <w:r>
        <w:rPr>
          <w:rFonts w:ascii="Calibri" w:hAnsi="Calibri"/>
          <w:b/>
          <w:color w:val="1A3C6E"/>
          <w:sz w:val="22"/>
        </w:rPr>
        <w:t>Documents à récupérer</w:t>
      </w:r>
      <w:r>
        <w:rPr>
          <w:rFonts w:ascii="Calibri" w:hAnsi="Calibri"/>
          <w:color w:val="333333"/>
          <w:sz w:val="22"/>
        </w:rPr>
        <w:t xml:space="preserve">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DCE (Dossier de Consultation des Entreprises)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CCTP (Cahier des Clauses Techniques Particulières)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CCAP (Cahier des Clauses Administratives Particulières)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Acte d'engagement</w:t>
      </w:r>
    </w:p>
    <w:p>
      <w:pPr>
        <w:pStyle w:val="Heading3"/>
      </w:pPr>
      <w:r>
        <w:t>3. Analyser la cohérence du mémoire</w:t>
      </w:r>
    </w:p>
    <w:p>
      <w:r>
        <w:rPr>
          <w:rFonts w:ascii="Calibri" w:hAnsi="Calibri"/>
          <w:b/>
          <w:color w:val="1A3C6E"/>
          <w:sz w:val="22"/>
        </w:rPr>
        <w:t>Observation</w:t>
      </w:r>
      <w:r>
        <w:rPr>
          <w:rFonts w:ascii="Calibri" w:hAnsi="Calibri"/>
          <w:color w:val="333333"/>
          <w:sz w:val="22"/>
        </w:rPr>
        <w:t xml:space="preserve"> : Le mémoire technique semble bien structuré mais fait plusieurs hypothèses sur les besoins sans référence au RC officiel, notamment 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Focus sur l'IA alors que le titre mentionne "Blockchain et Numérique Responsable"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Méthodologie en 4 phases sans validation des attentes client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Moyens proposés sans référence aux exigences</w:t>
      </w:r>
    </w:p>
    <w:p>
      <w:pPr>
        <w:pStyle w:val="Heading2"/>
      </w:pPr>
      <w:r>
        <w:t>Actions prioritaires immédiates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URGENT</w:t>
      </w:r>
      <w:r>
        <w:rPr>
          <w:rFonts w:ascii="Calibri" w:hAnsi="Calibri"/>
          <w:color w:val="333333"/>
          <w:sz w:val="22"/>
        </w:rPr>
        <w:t xml:space="preserve"> : Se procurer le règlement de consultation complet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URGENT</w:t>
      </w:r>
      <w:r>
        <w:rPr>
          <w:rFonts w:ascii="Calibri" w:hAnsi="Calibri"/>
          <w:color w:val="333333"/>
          <w:sz w:val="22"/>
        </w:rPr>
        <w:t xml:space="preserve"> : Vérifier l'alignement entre le titre de l'AO (Blockchain + Numérique Responsable) et le contenu du mémoire (focus IA)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URGENT</w:t>
      </w:r>
      <w:r>
        <w:rPr>
          <w:rFonts w:ascii="Calibri" w:hAnsi="Calibri"/>
          <w:color w:val="333333"/>
          <w:sz w:val="22"/>
        </w:rPr>
        <w:t xml:space="preserve"> : Demander clarification sur le périmètre exact des formations attendues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URGENT</w:t>
      </w:r>
      <w:r>
        <w:rPr>
          <w:rFonts w:ascii="Calibri" w:hAnsi="Calibri"/>
          <w:color w:val="333333"/>
          <w:sz w:val="22"/>
        </w:rPr>
        <w:t xml:space="preserve"> : Identifier les critères de notation pour ajuster le mémoire en conséquence</w:t>
      </w:r>
    </w:p>
    <w:p>
      <w:pPr>
        <w:pStyle w:val="ListNumber"/>
      </w:pPr>
      <w:r>
        <w:rPr>
          <w:rFonts w:ascii="Calibri" w:hAnsi="Calibri"/>
          <w:b/>
          <w:color w:val="1A3C6E"/>
          <w:sz w:val="22"/>
        </w:rPr>
        <w:t>URGENT</w:t>
      </w:r>
      <w:r>
        <w:rPr>
          <w:rFonts w:ascii="Calibri" w:hAnsi="Calibri"/>
          <w:color w:val="333333"/>
          <w:sz w:val="22"/>
        </w:rPr>
        <w:t xml:space="preserve"> : Vérifier les contraintes de format, pagination et présentation du mémoire technique</w:t>
      </w:r>
    </w:p>
    <w:p>
      <w:r>
        <w:rPr>
          <w:rFonts w:ascii="Calibri" w:hAnsi="Calibri"/>
          <w:b/>
          <w:color w:val="1A3C6E"/>
          <w:sz w:val="22"/>
        </w:rPr>
        <w:t>Note critique</w:t>
      </w:r>
      <w:r>
        <w:rPr>
          <w:rFonts w:ascii="Calibri" w:hAnsi="Calibri"/>
          <w:color w:val="333333"/>
          <w:sz w:val="22"/>
        </w:rPr>
        <w:t xml:space="preserve"> : Cette analyse ne peut être menée correctement sans le règlement de consultation détaillé. Le mémoire technique proposé risque d'être hors-sujet par rapport aux attentes réelles d'OPCO-ATLAS.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