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800000" cy="56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6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A3C6E"/>
          <w:sz w:val="36"/>
        </w:rPr>
        <w:t>PLANNING PREVISIONNEL DE REALISATION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Actions de formation dans le cadre de campusAtlas Blockchain et Numérique Responsable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0"/>
        <w:gridCol w:w="3500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</w:tblGrid>
      <w:tr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Livrables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S3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S4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S5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S6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S7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S8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S9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S10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S11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S12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S13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S14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S15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S16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S17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S18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S19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S20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S21</w:t>
            </w:r>
          </w:p>
        </w:tc>
        <w:tc>
          <w:tcPr>
            <w:tcW w:type="dxa" w:w="63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S22</w:t>
            </w:r>
          </w:p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E75B6"/>
                <w:sz w:val="18"/>
              </w:rPr>
              <w:t>Phase 1 - Lancement et diagnostic des besoins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Compte-rendu de cadrage, audit des besoins de formation, définition des profils apprenants</w:t>
            </w:r>
          </w:p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7AE60"/>
                <w:sz w:val="18"/>
              </w:rPr>
              <w:t>Phase 2 - Conception pédagogique Blockchain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Programme détaillé blockchain, supports de formation, exercices pratiques</w:t>
            </w:r>
          </w:p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E67E22"/>
                <w:sz w:val="18"/>
              </w:rPr>
              <w:t>Phase 3 - Conception pédagogique Numérique Responsable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Programme détaillé numérique responsable, supports de formation, cas d'usage</w:t>
            </w:r>
          </w:p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  <w:shd w:fill="E67E22" w:val="clear"/>
          </w:tcPr>
          <w:p/>
        </w:tc>
        <w:tc>
          <w:tcPr>
            <w:tcW w:type="dxa" w:w="895"/>
            <w:shd w:fill="E67E22" w:val="clear"/>
          </w:tcPr>
          <w:p/>
        </w:tc>
        <w:tc>
          <w:tcPr>
            <w:tcW w:type="dxa" w:w="895"/>
            <w:shd w:fill="E67E22" w:val="clear"/>
          </w:tcPr>
          <w:p/>
        </w:tc>
        <w:tc>
          <w:tcPr>
            <w:tcW w:type="dxa" w:w="895"/>
            <w:shd w:fill="E67E22" w:val="clear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8E44AD"/>
                <w:sz w:val="18"/>
              </w:rPr>
              <w:t>Phase 4 - Formation pilote et ajustements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Sessions pilotes réalisées, supports ajustés, validation pédagogique</w:t>
            </w:r>
          </w:p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8E44AD" w:val="clear"/>
          </w:tcPr>
          <w:p/>
        </w:tc>
        <w:tc>
          <w:tcPr>
            <w:tcW w:type="dxa" w:w="895"/>
            <w:shd w:fill="8E44AD" w:val="clear"/>
          </w:tcPr>
          <w:p/>
        </w:tc>
        <w:tc>
          <w:tcPr>
            <w:tcW w:type="dxa" w:w="895"/>
            <w:shd w:fill="8E44AD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C0392B"/>
                <w:sz w:val="18"/>
              </w:rPr>
              <w:t>Phase 5 - Déploiement des formations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Sessions de formation déployées, feuilles de présence, évaluations à chaud</w:t>
            </w:r>
          </w:p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  <w:shd w:fill="C0392B" w:val="clear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16A085"/>
                <w:sz w:val="18"/>
              </w:rPr>
              <w:t>Phase 6 - Mise en place e-learning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Plateforme e-learning opérationnelle, ressources numériques accessibles</w:t>
            </w:r>
          </w:p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16A085" w:val="clear"/>
          </w:tcPr>
          <w:p/>
        </w:tc>
        <w:tc>
          <w:tcPr>
            <w:tcW w:type="dxa" w:w="895"/>
            <w:shd w:fill="16A085" w:val="clear"/>
          </w:tcPr>
          <w:p/>
        </w:tc>
        <w:tc>
          <w:tcPr>
            <w:tcW w:type="dxa" w:w="895"/>
            <w:shd w:fill="16A085" w:val="clear"/>
          </w:tcPr>
          <w:p/>
        </w:tc>
        <w:tc>
          <w:tcPr>
            <w:tcW w:type="dxa" w:w="895"/>
            <w:shd w:fill="16A085" w:val="clear"/>
          </w:tcPr>
          <w:p/>
        </w:tc>
        <w:tc>
          <w:tcPr>
            <w:tcW w:type="dxa" w:w="895"/>
            <w:shd w:fill="16A08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E75B6"/>
                <w:sz w:val="18"/>
              </w:rPr>
              <w:t>Phase 7 - Suivi et évaluation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Questionnaires de satisfaction, évaluations à froid, analyse des résultats</w:t>
            </w:r>
          </w:p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  <w:shd w:fill="2E75B6" w:val="clear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  <w:tc>
          <w:tcPr>
            <w:tcW w:type="dxa" w:w="895"/>
          </w:tcPr>
          <w:p/>
        </w:tc>
      </w:tr>
      <w:tr>
        <w:tc>
          <w:tcPr>
            <w:tcW w:type="dxa" w:w="3500"/>
          </w:tcPr>
          <w:p>
            <w:r/>
            <w:r>
              <w:rPr>
                <w:rFonts w:ascii="Calibri" w:hAnsi="Calibri"/>
                <w:b/>
                <w:color w:val="27AE60"/>
                <w:sz w:val="18"/>
              </w:rPr>
              <w:t>Phase 8 - Bilan et recommandations</w:t>
            </w:r>
          </w:p>
        </w:tc>
        <w:tc>
          <w:tcPr>
            <w:tcW w:type="dxa" w:w="3500"/>
          </w:tcPr>
          <w:p>
            <w:r/>
            <w:r>
              <w:rPr>
                <w:rFonts w:ascii="Calibri" w:hAnsi="Calibri"/>
                <w:color w:val="333333"/>
                <w:sz w:val="16"/>
              </w:rPr>
              <w:t>Rapport final, bilan quantitatif et qualitatif, recommandations d'amélioration</w:t>
            </w:r>
          </w:p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27AE60" w:val="clear"/>
          </w:tcPr>
          <w:p/>
        </w:tc>
        <w:tc>
          <w:tcPr>
            <w:tcW w:type="dxa" w:w="895"/>
            <w:shd w:fill="F5F5F5" w:val="clear"/>
          </w:tcPr>
          <w:p/>
        </w:tc>
        <w:tc>
          <w:tcPr>
            <w:tcW w:type="dxa" w:w="895"/>
            <w:shd w:fill="F5F5F5" w:val="clear"/>
          </w:tcPr>
          <w:p/>
        </w:tc>
      </w:tr>
    </w:tbl>
    <w:p/>
    <w:p>
      <w:pPr>
        <w:jc w:val="left"/>
      </w:pPr>
      <w:r>
        <w:rPr>
          <w:rFonts w:ascii="Calibri" w:hAnsi="Calibri"/>
          <w:b/>
          <w:color w:val="333333"/>
          <w:sz w:val="20"/>
        </w:rPr>
        <w:t xml:space="preserve">Legende : </w:t>
      </w:r>
      <w:r>
        <w:rPr>
          <w:rFonts w:ascii="Calibri" w:hAnsi="Calibri"/>
          <w:color w:val="2E75B6"/>
          <w:sz w:val="18"/>
        </w:rPr>
        <w:t xml:space="preserve">  ■ Phase 1 - Lancement et diagnostic des besoins  </w:t>
      </w:r>
      <w:r>
        <w:rPr>
          <w:rFonts w:ascii="Calibri" w:hAnsi="Calibri"/>
          <w:color w:val="27AE60"/>
          <w:sz w:val="18"/>
        </w:rPr>
        <w:t xml:space="preserve">  ■ Phase 2 - Conception pédagogique Blockchain  </w:t>
      </w:r>
      <w:r>
        <w:rPr>
          <w:rFonts w:ascii="Calibri" w:hAnsi="Calibri"/>
          <w:color w:val="E67E22"/>
          <w:sz w:val="18"/>
        </w:rPr>
        <w:t xml:space="preserve">  ■ Phase 3 - Conception pédagogique Numérique Responsable  </w:t>
      </w:r>
      <w:r>
        <w:rPr>
          <w:rFonts w:ascii="Calibri" w:hAnsi="Calibri"/>
          <w:color w:val="8E44AD"/>
          <w:sz w:val="18"/>
        </w:rPr>
        <w:t xml:space="preserve">  ■ Phase 4 - Formation pilote et ajustements  </w:t>
      </w:r>
      <w:r>
        <w:rPr>
          <w:rFonts w:ascii="Calibri" w:hAnsi="Calibri"/>
          <w:color w:val="C0392B"/>
          <w:sz w:val="18"/>
        </w:rPr>
        <w:t xml:space="preserve">  ■ Phase 5 - Déploiement des formations  </w:t>
      </w:r>
      <w:r>
        <w:rPr>
          <w:rFonts w:ascii="Calibri" w:hAnsi="Calibri"/>
          <w:color w:val="16A085"/>
          <w:sz w:val="18"/>
        </w:rPr>
        <w:t xml:space="preserve">  ■ Phase 6 - Mise en place e-learning  </w:t>
      </w:r>
      <w:r>
        <w:rPr>
          <w:rFonts w:ascii="Calibri" w:hAnsi="Calibri"/>
          <w:color w:val="2E75B6"/>
          <w:sz w:val="18"/>
        </w:rPr>
        <w:t xml:space="preserve">  ■ Phase 7 - Suivi et évaluation  </w:t>
      </w:r>
      <w:r>
        <w:rPr>
          <w:rFonts w:ascii="Calibri" w:hAnsi="Calibri"/>
          <w:color w:val="27AE60"/>
          <w:sz w:val="18"/>
        </w:rPr>
        <w:t xml:space="preserve">  ■ Phase 8 - Bilan et recommandations  </w:t>
      </w:r>
    </w:p>
    <w:sectPr w:rsidR="00FC693F" w:rsidRPr="0006063C" w:rsidSect="00034616"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Almera - Planning previsionnel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