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800000" cy="566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6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1A3C6E"/>
          <w:sz w:val="36"/>
        </w:rPr>
        <w:t>PLANNING PREVISIONNEL DE REALISATION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Réalisation d'une étude portant sur les besoins en compétences, emplois et formations dans le domaine du No code et du Low code en France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0"/>
        <w:gridCol w:w="3500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Livrables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S2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S3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S4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S5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S6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S7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S8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S9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S10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S11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S12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S13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S14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S15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S16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S17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S18</w:t>
            </w:r>
          </w:p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2E75B6"/>
                <w:sz w:val="18"/>
              </w:rPr>
              <w:t>Phase 1 - Lancement et cadrage de l'étude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Note de cadrage, méthodologie détaillée, planning opérationnel</w:t>
            </w:r>
          </w:p>
        </w:tc>
        <w:tc>
          <w:tcPr>
            <w:tcW w:type="dxa" w:w="1094"/>
            <w:shd w:fill="2E75B6" w:val="clear"/>
          </w:tcPr>
          <w:p/>
        </w:tc>
        <w:tc>
          <w:tcPr>
            <w:tcW w:type="dxa" w:w="1094"/>
            <w:shd w:fill="2E75B6" w:val="clear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27AE60"/>
                <w:sz w:val="18"/>
              </w:rPr>
              <w:t>Phase 2 - Analyse documentaire et état de l'art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Cartographie des solutions No/Low code, analyse comparative internationale</w:t>
            </w:r>
          </w:p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27AE60" w:val="clear"/>
          </w:tcPr>
          <w:p/>
        </w:tc>
        <w:tc>
          <w:tcPr>
            <w:tcW w:type="dxa" w:w="1094"/>
            <w:shd w:fill="27AE60" w:val="clear"/>
          </w:tcPr>
          <w:p/>
        </w:tc>
        <w:tc>
          <w:tcPr>
            <w:tcW w:type="dxa" w:w="1094"/>
            <w:shd w:fill="27AE60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E67E22"/>
                <w:sz w:val="18"/>
              </w:rPr>
              <w:t>Phase 3 - Enquête quantitative entreprises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Questionnaire en ligne, base de données constituée, premiers résultats</w:t>
            </w:r>
          </w:p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  <w:shd w:fill="E67E22" w:val="clear"/>
          </w:tcPr>
          <w:p/>
        </w:tc>
        <w:tc>
          <w:tcPr>
            <w:tcW w:type="dxa" w:w="1094"/>
            <w:shd w:fill="E67E22" w:val="clear"/>
          </w:tcPr>
          <w:p/>
        </w:tc>
        <w:tc>
          <w:tcPr>
            <w:tcW w:type="dxa" w:w="1094"/>
            <w:shd w:fill="E67E22" w:val="clear"/>
          </w:tcPr>
          <w:p/>
        </w:tc>
        <w:tc>
          <w:tcPr>
            <w:tcW w:type="dxa" w:w="1094"/>
            <w:shd w:fill="E67E22" w:val="clear"/>
          </w:tcPr>
          <w:p/>
        </w:tc>
        <w:tc>
          <w:tcPr>
            <w:tcW w:type="dxa" w:w="1094"/>
            <w:shd w:fill="E67E22" w:val="clear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8E44AD"/>
                <w:sz w:val="18"/>
              </w:rPr>
              <w:t>Phase 4 - Enquête qualitative terrain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Guides d'entretien, entretiens réalisés, monographies d'entreprises</w:t>
            </w:r>
          </w:p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8E44AD" w:val="clear"/>
          </w:tcPr>
          <w:p/>
        </w:tc>
        <w:tc>
          <w:tcPr>
            <w:tcW w:type="dxa" w:w="1094"/>
            <w:shd w:fill="8E44AD" w:val="clear"/>
          </w:tcPr>
          <w:p/>
        </w:tc>
        <w:tc>
          <w:tcPr>
            <w:tcW w:type="dxa" w:w="1094"/>
            <w:shd w:fill="8E44AD" w:val="clear"/>
          </w:tcPr>
          <w:p/>
        </w:tc>
        <w:tc>
          <w:tcPr>
            <w:tcW w:type="dxa" w:w="1094"/>
            <w:shd w:fill="8E44AD" w:val="clear"/>
          </w:tcPr>
          <w:p/>
        </w:tc>
        <w:tc>
          <w:tcPr>
            <w:tcW w:type="dxa" w:w="1094"/>
            <w:shd w:fill="8E44AD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C0392B"/>
                <w:sz w:val="18"/>
              </w:rPr>
              <w:t>Phase 5 - Analyse des besoins en formation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Cartographie des compétences, référentiel métiers, gaps de formation identifiés</w:t>
            </w:r>
          </w:p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  <w:shd w:fill="C0392B" w:val="clear"/>
          </w:tcPr>
          <w:p/>
        </w:tc>
        <w:tc>
          <w:tcPr>
            <w:tcW w:type="dxa" w:w="1094"/>
            <w:shd w:fill="C0392B" w:val="clear"/>
          </w:tcPr>
          <w:p/>
        </w:tc>
        <w:tc>
          <w:tcPr>
            <w:tcW w:type="dxa" w:w="1094"/>
            <w:shd w:fill="C0392B" w:val="clear"/>
          </w:tcPr>
          <w:p/>
        </w:tc>
        <w:tc>
          <w:tcPr>
            <w:tcW w:type="dxa" w:w="1094"/>
            <w:shd w:fill="C0392B" w:val="clear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16A085"/>
                <w:sz w:val="18"/>
              </w:rPr>
              <w:t>Phase 6 - Synthèse et recommandations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Rapport de synthèse, recommandations stratégiques, plan d'actions</w:t>
            </w:r>
          </w:p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16A085" w:val="clear"/>
          </w:tcPr>
          <w:p/>
        </w:tc>
        <w:tc>
          <w:tcPr>
            <w:tcW w:type="dxa" w:w="1094"/>
            <w:shd w:fill="16A085" w:val="clear"/>
          </w:tcPr>
          <w:p/>
        </w:tc>
        <w:tc>
          <w:tcPr>
            <w:tcW w:type="dxa" w:w="1094"/>
            <w:shd w:fill="16A08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2E75B6"/>
                <w:sz w:val="18"/>
              </w:rPr>
              <w:t>Phase 7 - Restitution et transfert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Présentation finale, rapport définitif, outils de pilotage</w:t>
            </w:r>
          </w:p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  <w:shd w:fill="2E75B6" w:val="clear"/>
          </w:tcPr>
          <w:p/>
        </w:tc>
        <w:tc>
          <w:tcPr>
            <w:tcW w:type="dxa" w:w="1094"/>
            <w:shd w:fill="2E75B6" w:val="clear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</w:tr>
    </w:tbl>
    <w:p/>
    <w:p>
      <w:pPr>
        <w:jc w:val="left"/>
      </w:pPr>
      <w:r>
        <w:rPr>
          <w:rFonts w:ascii="Calibri" w:hAnsi="Calibri"/>
          <w:b/>
          <w:color w:val="333333"/>
          <w:sz w:val="20"/>
        </w:rPr>
        <w:t xml:space="preserve">Legende : </w:t>
      </w:r>
      <w:r>
        <w:rPr>
          <w:rFonts w:ascii="Calibri" w:hAnsi="Calibri"/>
          <w:color w:val="2E75B6"/>
          <w:sz w:val="18"/>
        </w:rPr>
        <w:t xml:space="preserve">  ■ Phase 1 - Lancement et cadrage de l'étude  </w:t>
      </w:r>
      <w:r>
        <w:rPr>
          <w:rFonts w:ascii="Calibri" w:hAnsi="Calibri"/>
          <w:color w:val="27AE60"/>
          <w:sz w:val="18"/>
        </w:rPr>
        <w:t xml:space="preserve">  ■ Phase 2 - Analyse documentaire et état de l'art  </w:t>
      </w:r>
      <w:r>
        <w:rPr>
          <w:rFonts w:ascii="Calibri" w:hAnsi="Calibri"/>
          <w:color w:val="E67E22"/>
          <w:sz w:val="18"/>
        </w:rPr>
        <w:t xml:space="preserve">  ■ Phase 3 - Enquête quantitative entreprises  </w:t>
      </w:r>
      <w:r>
        <w:rPr>
          <w:rFonts w:ascii="Calibri" w:hAnsi="Calibri"/>
          <w:color w:val="8E44AD"/>
          <w:sz w:val="18"/>
        </w:rPr>
        <w:t xml:space="preserve">  ■ Phase 4 - Enquête qualitative terrain  </w:t>
      </w:r>
      <w:r>
        <w:rPr>
          <w:rFonts w:ascii="Calibri" w:hAnsi="Calibri"/>
          <w:color w:val="C0392B"/>
          <w:sz w:val="18"/>
        </w:rPr>
        <w:t xml:space="preserve">  ■ Phase 5 - Analyse des besoins en formation  </w:t>
      </w:r>
      <w:r>
        <w:rPr>
          <w:rFonts w:ascii="Calibri" w:hAnsi="Calibri"/>
          <w:color w:val="16A085"/>
          <w:sz w:val="18"/>
        </w:rPr>
        <w:t xml:space="preserve">  ■ Phase 6 - Synthèse et recommandations  </w:t>
      </w:r>
      <w:r>
        <w:rPr>
          <w:rFonts w:ascii="Calibri" w:hAnsi="Calibri"/>
          <w:color w:val="2E75B6"/>
          <w:sz w:val="18"/>
        </w:rPr>
        <w:t xml:space="preserve">  ■ Phase 7 - Restitution et transfert  </w:t>
      </w:r>
    </w:p>
    <w:sectPr w:rsidR="00FC693F" w:rsidRPr="0006063C" w:rsidSect="00034616">
      <w:footerReference w:type="default" r:id="rId10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Almera - Planning previsionnel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