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7FC" w:rsidRDefault="00AF7F6D">
      <w:r>
        <w:t>Title.</w:t>
      </w:r>
      <w:r w:rsidR="0015440A">
        <w:t xml:space="preserve"> “Variability in gait analysis comes more from the axis definition than movement itself”</w:t>
      </w:r>
    </w:p>
    <w:p w:rsidR="00AF7F6D" w:rsidRDefault="00AF7F6D">
      <w:r w:rsidRPr="00EA371C">
        <w:rPr>
          <w:b/>
        </w:rPr>
        <w:t>Introduction</w:t>
      </w:r>
      <w:r>
        <w:t>.</w:t>
      </w:r>
    </w:p>
    <w:p w:rsidR="002E4F2C" w:rsidRDefault="00AF7F6D" w:rsidP="007E3764">
      <w:pPr>
        <w:jc w:val="both"/>
      </w:pPr>
      <w:r>
        <w:tab/>
      </w:r>
      <w:r w:rsidR="00012A49">
        <w:t xml:space="preserve">In clinical gait analysis, kinematic data relative to joint motion is computed by evaluating the continuous movement of one segment with respect to its adjacent. This motion have been typically expressed using two mathematical methods: the Euler sequence </w:t>
      </w:r>
      <w:r w:rsidR="004E7C91">
        <w:t xml:space="preserve">(ref Chao 1980) </w:t>
      </w:r>
      <w:r w:rsidR="00012A49">
        <w:t>and the attitude vector</w:t>
      </w:r>
      <w:r w:rsidR="007E3764">
        <w:t>/helical axis/screw axis</w:t>
      </w:r>
      <w:r w:rsidR="00012A49">
        <w:t xml:space="preserve"> </w:t>
      </w:r>
      <w:r w:rsidR="00012A49">
        <w:fldChar w:fldCharType="begin" w:fldLock="1"/>
      </w:r>
      <w:r w:rsidR="00007F39">
        <w:instrText>ADDIN CSL_CITATION {"citationItems":[{"id":"ITEM-1","itemData":{"author":[{"dropping-particle":"","family":"Woltring","given":"Herman J","non-dropping-particle":"","parse-names":false,"suffix":""}],"container-title":"Communities","id":"ITEM-1","issue":"40","issued":{"date-parts":[["1991"]]},"page":"1-17","title":"3–D Attitude Representation: a Standardization Proposal *","type":"article-journal","volume":"31"},"uris":["http://www.mendeley.com/documents/?uuid=57f4676f-216f-4931-9f6d-069cd52ed4c9"]}],"mendeley":{"formattedCitation":"(Woltring, 1991)","plainTextFormattedCitation":"(Woltring, 1991)","previouslyFormattedCitation":"(Woltring, 1991)"},"properties":{"noteIndex":0},"schema":"https://github.com/citation-style-language/schema/raw/master/csl-citation.json"}</w:instrText>
      </w:r>
      <w:r w:rsidR="00012A49">
        <w:fldChar w:fldCharType="separate"/>
      </w:r>
      <w:r w:rsidR="00012A49" w:rsidRPr="00012A49">
        <w:rPr>
          <w:noProof/>
        </w:rPr>
        <w:t>(Woltring, 1991)</w:t>
      </w:r>
      <w:r w:rsidR="00012A49">
        <w:fldChar w:fldCharType="end"/>
      </w:r>
      <w:r w:rsidR="00012A49">
        <w:t xml:space="preserve">. </w:t>
      </w:r>
      <w:r w:rsidR="00010015">
        <w:t>The Euler sequence represents the overall join</w:t>
      </w:r>
      <w:r w:rsidR="00827E0B">
        <w:t>t</w:t>
      </w:r>
      <w:r w:rsidR="00010015">
        <w:t xml:space="preserve"> movement through a set of three rotations </w:t>
      </w:r>
      <w:r w:rsidR="00827E0B">
        <w:t>about</w:t>
      </w:r>
      <w:r w:rsidR="00010015">
        <w:t xml:space="preserve"> the sagittal, transversal and coronal plane. Due to its easy interpretability it is the gold standard (recommended by the ISB</w:t>
      </w:r>
      <w:r w:rsidR="00007F39">
        <w:t xml:space="preserve"> </w:t>
      </w:r>
      <w:r w:rsidR="00007F39">
        <w:fldChar w:fldCharType="begin" w:fldLock="1"/>
      </w:r>
      <w:r w:rsidR="001E0F55">
        <w:instrText>ADDIN CSL_CITATION {"citationItems":[{"id":"ITEM-1","itemData":{"author":[{"dropping-particle":"","family":"Wu","given":"Ge","non-dropping-particle":"","parse-names":false,"suffix":""},{"dropping-particle":"","family":"Cavanagh","given":"Peter R","non-dropping-particle":"","parse-names":false,"suffix":""}],"id":"ITEM-1","issue":"10","issued":{"date-parts":[["1995"]]},"page":"1257-1261","title":"ISB RECOMMENDATIONS IN THE REPORTING FOR STANDARDIZATION OF KINEMATIC DATA","type":"article-journal","volume":"28"},"uris":["http://www.mendeley.com/documents/?uuid=449f1e77-b286-4515-88b6-0e3d363dca72"]}],"mendeley":{"formattedCitation":"(Wu &amp; Cavanagh, 1995)","plainTextFormattedCitation":"(Wu &amp; Cavanagh, 1995)","previouslyFormattedCitation":"(Wu &amp; Cavanagh, 1995)"},"properties":{"noteIndex":0},"schema":"https://github.com/citation-style-language/schema/raw/master/csl-citation.json"}</w:instrText>
      </w:r>
      <w:r w:rsidR="00007F39">
        <w:fldChar w:fldCharType="separate"/>
      </w:r>
      <w:r w:rsidR="00007F39" w:rsidRPr="00007F39">
        <w:rPr>
          <w:noProof/>
        </w:rPr>
        <w:t>(Wu &amp; Cavanagh, 1995)</w:t>
      </w:r>
      <w:r w:rsidR="00007F39">
        <w:fldChar w:fldCharType="end"/>
      </w:r>
      <w:r w:rsidR="00010015">
        <w:t>) met</w:t>
      </w:r>
      <w:r w:rsidR="007E3764">
        <w:t>hod to express joint motion in</w:t>
      </w:r>
      <w:r w:rsidR="00010015">
        <w:t xml:space="preserve"> clinical </w:t>
      </w:r>
      <w:r w:rsidR="007E3764">
        <w:t>practise</w:t>
      </w:r>
      <w:r w:rsidR="00010015">
        <w:t xml:space="preserve">. However, </w:t>
      </w:r>
      <w:r w:rsidR="00007F39">
        <w:t xml:space="preserve">the decomposition of the overall movement into three rotations are known to be prone to error propagation </w:t>
      </w:r>
      <w:r w:rsidR="001E0F55">
        <w:fldChar w:fldCharType="begin" w:fldLock="1"/>
      </w:r>
      <w:r w:rsidR="0081056B">
        <w:instrText>ADDIN CSL_CITATION {"citationItems":[{"id":"ITEM-1","itemData":{"DOI":"10.1104/pp.900027.However","author":[{"dropping-particle":"","family":"Ge Wu","given":"","non-dropping-particle":"","parse-names":false,"suffix":""}],"container-title":"Journal of Biomechanics","id":"ITEM-1","issued":{"date-parts":[["2002"]]},"page":"285-286","title":"ISB recommendation on definitions of joint coordinate system of various joints for the reporting of human joint motion - part I: ankle, hip, and spine","type":"article-journal","volume":"28"},"uris":["http://www.mendeley.com/documents/?uuid=31f4069c-a4d6-428d-93b4-6b8fabf53055"]}],"mendeley":{"formattedCitation":"(Ge Wu, 2002)","plainTextFormattedCitation":"(Ge Wu, 2002)","previouslyFormattedCitation":"(Ge Wu, 2002)"},"properties":{"noteIndex":0},"schema":"https://github.com/citation-style-language/schema/raw/master/csl-citation.json"}</w:instrText>
      </w:r>
      <w:r w:rsidR="001E0F55">
        <w:fldChar w:fldCharType="separate"/>
      </w:r>
      <w:r w:rsidR="001E0F55" w:rsidRPr="001E0F55">
        <w:rPr>
          <w:noProof/>
        </w:rPr>
        <w:t>(Ge Wu, 2002)</w:t>
      </w:r>
      <w:r w:rsidR="001E0F55">
        <w:fldChar w:fldCharType="end"/>
      </w:r>
      <w:r w:rsidR="00007F39">
        <w:t xml:space="preserve"> and subject to the effect of cross-talk </w:t>
      </w:r>
      <w:r w:rsidR="00007F39">
        <w:fldChar w:fldCharType="begin" w:fldLock="1"/>
      </w:r>
      <w:r w:rsidR="00007F39">
        <w:instrText>ADDIN CSL_CITATION {"citationItems":[{"id":"ITEM-1","itemData":{"DOI":"10.1016/j.jbiomech.2015.07.044","ISSN":"18732380","abstract":"Foot intrinsic motion originates from the combination of numerous joint motions giving this segment a high adaptive ability. Existing foot kinematic models are mostly focused on analyzing small scale foot bone to bone motions which require both complex experimental methodology and complex interpretative work to assess the global foot functionality. This study proposes a method to assess the total foot deformation by calculating a helical angle from the relative motions of the rearfoot and the forefoot. This method required a limited number of retro-reflective markers placed on the foot and was tested for five different movements (walking, forefoot impact running, heel impact running, 90° cutting, and 180° U-turn) and 12 participants. Overtime intraclass correlation coefficients were calculated to quantify the helical angle pattern repeatability for each movement. Our results indicated that the method was suitable to identify the different motions as different amplitudes of helical angle were observed according to the flexibility required in each movement. Moreover, the results showed that the repeatability could be used to identify the mastering of each motion as this repeatability was high for well mastered movements. Together with existing methods, this new protocol could be applied to fully assess foot function in sport or clinical contexts.","author":[{"dropping-particle":"","family":"Pothrat","given":"Claude","non-dropping-particle":"","parse-names":false,"suffix":""},{"dropping-particle":"","family":"Goislard de Monsabert","given":"Benjamin","non-dropping-particle":"","parse-names":false,"suffix":""},{"dropping-particle":"","family":"Vigouroux","given":"Laurent","non-dropping-particle":"","parse-names":false,"suffix":""},{"dropping-particle":"","family":"Viehweger","given":"Elke","non-dropping-particle":"","parse-names":false,"suffix":""},{"dropping-particle":"","family":"Berton","given":"Eric","non-dropping-particle":"","parse-names":false,"suffix":""},{"dropping-particle":"","family":"Rao","given":"Guillaume","non-dropping-particle":"","parse-names":false,"suffix":""}],"container-title":"Journal of Biomechanics","id":"ITEM-1","issue":"13","issued":{"date-parts":[["2015"]]},"page":"3716-3719","publisher":"Elsevier","title":"Quantifying foot deformation using finite helical angle","type":"article-journal","volume":"48"},"uris":["http://www.mendeley.com/documents/?uuid=0dc4add3-1950-4f14-a77d-a083901f74ff"]}],"mendeley":{"formattedCitation":"(Pothrat et al., 2015)","plainTextFormattedCitation":"(Pothrat et al., 2015)","previouslyFormattedCitation":"(Pothrat et al., 2015)"},"properties":{"noteIndex":0},"schema":"https://github.com/citation-style-language/schema/raw/master/csl-citation.json"}</w:instrText>
      </w:r>
      <w:r w:rsidR="00007F39">
        <w:fldChar w:fldCharType="separate"/>
      </w:r>
      <w:r w:rsidR="00007F39" w:rsidRPr="00007F39">
        <w:rPr>
          <w:noProof/>
        </w:rPr>
        <w:t>(Pothrat et al., 2015)</w:t>
      </w:r>
      <w:r w:rsidR="00007F39">
        <w:fldChar w:fldCharType="end"/>
      </w:r>
      <w:r w:rsidR="001E0F55">
        <w:t>.</w:t>
      </w:r>
      <w:r w:rsidR="0081056B">
        <w:t xml:space="preserve"> Moreover, </w:t>
      </w:r>
      <w:r w:rsidR="004E7C91">
        <w:t>magnitudes of movement represent by the three Euler angles method</w:t>
      </w:r>
      <w:r w:rsidR="0081056B">
        <w:t xml:space="preserve"> are dependent on the sequence of rotations </w:t>
      </w:r>
      <w:r w:rsidR="0081056B">
        <w:fldChar w:fldCharType="begin" w:fldLock="1"/>
      </w:r>
      <w:r w:rsidR="0081056B">
        <w:instrText>ADDIN CSL_CITATION {"citationItems":[{"id":"ITEM-1","itemData":{"DOI":"10.1016/S0021-9290(00)00146-9","ISBN":"0021-9290","ISSN":"00219290","PMID":"11006395","abstract":"When skin-fixed marker trajectories are used to calculate 3D joint kinematics, the measurement errors (i.e. the difference between the trajectories of the external markers and those of the skeleton) influence to some extent the accuracy of the results, depending both on the calculation method and on the axes about which the rotations are expressed. The purpose of this paper is to compare several expressions of joint angular variations. Two kinematic concepts are used to calculate the changes in the orientation of the distal segment versus the proximal one: the first method consists of computing the components of the spatial attitude vector, the second one deals with the determination of elementary rotations about successive axes. For each of these methods, two sets of three axes are tested to express the results: the axes forming the reference frame affixed to the body segment adjacent to the joint (named fixed axes), and a set consisting of a first axis belonging to the proximal segment, a third axis belonging to the distal segment and a second (floating) axis defined as the cross-product between the two other ones (named mobile axes). To compare these four distinct expressions on the knee joint, numerical simulations of perturbed skin marker trajectories are performed, based on experimental data recorded by a Motion Analysis system during a normal gait cycle. A significant difference is pointed out only for the internal-external rotation angle, for which the best expression - from the viewpoint of sensitivity to experimental errors - is obtained using the components of the attitude vector in a segment-embedded reference frame. Copyright (C) 2000 Elsevier Science Ltd.","author":[{"dropping-particle":"","family":"Chéze","given":"Laurence","non-dropping-particle":"","parse-names":false,"suffix":""}],"container-title":"Journal of Biomechanics","id":"ITEM-1","issue":"12","issued":{"date-parts":[["2000"]]},"page":"1695-1699","title":"Comparison of different calculations of three-dimensional joint kinematics from video-based system data","type":"article-journal","volume":"33"},"uris":["http://www.mendeley.com/documents/?uuid=9e8df6cc-58f7-4e11-a6ac-2204815061bf"]}],"mendeley":{"formattedCitation":"(Chéze, 2000)","plainTextFormattedCitation":"(Chéze, 2000)"},"properties":{"noteIndex":0},"schema":"https://github.com/citation-style-language/schema/raw/master/csl-citation.json"}</w:instrText>
      </w:r>
      <w:r w:rsidR="0081056B">
        <w:fldChar w:fldCharType="separate"/>
      </w:r>
      <w:r w:rsidR="0081056B" w:rsidRPr="0081056B">
        <w:rPr>
          <w:noProof/>
        </w:rPr>
        <w:t>(Chéze, 2000)</w:t>
      </w:r>
      <w:r w:rsidR="0081056B">
        <w:fldChar w:fldCharType="end"/>
      </w:r>
      <w:r w:rsidR="0081056B">
        <w:t>.</w:t>
      </w:r>
      <w:r w:rsidR="001E0F55">
        <w:t xml:space="preserve"> On th</w:t>
      </w:r>
      <w:r w:rsidR="005F73FF">
        <w:t xml:space="preserve">e other hand, </w:t>
      </w:r>
      <w:r w:rsidR="00070FAF">
        <w:t>helical axis</w:t>
      </w:r>
      <w:r w:rsidR="005F73FF">
        <w:t xml:space="preserve"> provides </w:t>
      </w:r>
      <w:r w:rsidR="007E3764">
        <w:t>a</w:t>
      </w:r>
      <w:r w:rsidR="005F73FF">
        <w:t xml:space="preserve"> unique description of the motion</w:t>
      </w:r>
      <w:r w:rsidR="0037113A">
        <w:t xml:space="preserve"> as a rotation about combin</w:t>
      </w:r>
      <w:r w:rsidR="00070FAF">
        <w:t>ed with a translation along it.</w:t>
      </w:r>
      <w:r w:rsidR="0037113A">
        <w:t xml:space="preserve"> </w:t>
      </w:r>
      <w:r w:rsidR="00070FAF">
        <w:t xml:space="preserve">Helical axis </w:t>
      </w:r>
      <w:r w:rsidR="005F73FF">
        <w:t>is</w:t>
      </w:r>
      <w:r w:rsidR="007E3764">
        <w:t xml:space="preserve"> less sensitive to error</w:t>
      </w:r>
      <w:r w:rsidR="00070FAF">
        <w:t xml:space="preserve"> but</w:t>
      </w:r>
      <w:r w:rsidR="007E3764">
        <w:t xml:space="preserve"> it has low interpretability in clinical practice</w:t>
      </w:r>
      <w:r w:rsidR="001E0F55">
        <w:t>.</w:t>
      </w:r>
      <w:r w:rsidR="0081056B">
        <w:t xml:space="preserve"> </w:t>
      </w:r>
    </w:p>
    <w:p w:rsidR="002E4F2C" w:rsidRDefault="007E3764" w:rsidP="007E3764">
      <w:pPr>
        <w:jc w:val="both"/>
      </w:pPr>
      <w:r>
        <w:tab/>
        <w:t xml:space="preserve">Current </w:t>
      </w:r>
      <w:r w:rsidR="00B64795">
        <w:t xml:space="preserve">reproducibility in clinical gait analysis is generally accepted among the clinical community. However, </w:t>
      </w:r>
      <w:r w:rsidR="009E7AAA">
        <w:t>some variability due to measurement error and intrinsic fact</w:t>
      </w:r>
      <w:r>
        <w:t>ors of the patient are observed (ref).</w:t>
      </w:r>
      <w:r w:rsidR="009E7AAA">
        <w:t xml:space="preserve"> This variability can impact the interpretation of the results</w:t>
      </w:r>
      <w:r>
        <w:t xml:space="preserve"> (ref)</w:t>
      </w:r>
      <w:r w:rsidR="009E7AAA">
        <w:t xml:space="preserve">. </w:t>
      </w:r>
      <w:r w:rsidR="00070FAF">
        <w:t>Variability arise from three factors: 1) Definition of the axis of the each lower limb segment; 2) movement</w:t>
      </w:r>
      <w:r w:rsidR="00D60909">
        <w:t xml:space="preserve"> pattern</w:t>
      </w:r>
      <w:r w:rsidR="00070FAF">
        <w:t xml:space="preserve"> variation among multiple trials; and 3) Definition of the axis of rotation (Euler angles). </w:t>
      </w:r>
      <w:r>
        <w:t>The uncertainty in placing the markers over the anatomical landmarks and soft tissue artefacts are the main causes of inaccuracy defining the joint centres</w:t>
      </w:r>
      <w:r w:rsidR="00070FAF" w:rsidRPr="00070FAF">
        <w:t xml:space="preserve"> </w:t>
      </w:r>
      <w:r w:rsidR="00070FAF">
        <w:t>and</w:t>
      </w:r>
      <w:r w:rsidR="00070FAF" w:rsidRPr="00070FAF">
        <w:t xml:space="preserve"> </w:t>
      </w:r>
      <w:r w:rsidR="00070FAF">
        <w:t>the axis of the segments</w:t>
      </w:r>
      <w:r>
        <w:t xml:space="preserve">. </w:t>
      </w:r>
      <w:r w:rsidR="00D60909">
        <w:t>Movement pattern variation is</w:t>
      </w:r>
      <w:r>
        <w:t xml:space="preserve"> caused by the capability of the subjects to repeat the same gait patterns (</w:t>
      </w:r>
      <w:r w:rsidR="0078300C">
        <w:t>mo</w:t>
      </w:r>
      <w:r>
        <w:t xml:space="preserve">vement) across trials which is also enhanced by the presence of motor disorders (ref). </w:t>
      </w:r>
    </w:p>
    <w:p w:rsidR="00010015" w:rsidRDefault="009E7AAA" w:rsidP="007E3764">
      <w:pPr>
        <w:jc w:val="both"/>
      </w:pPr>
      <w:r>
        <w:tab/>
        <w:t xml:space="preserve">We hypothesise that the variability in gait analysis is more dependent on the axis definition than the movement </w:t>
      </w:r>
      <w:r w:rsidR="00D60909">
        <w:t>itself</w:t>
      </w:r>
      <w:r>
        <w:t>.</w:t>
      </w:r>
      <w:r w:rsidR="0078300C">
        <w:t xml:space="preserve"> </w:t>
      </w:r>
      <w:r>
        <w:t xml:space="preserve">Thus, the aim of this study is to compare the variability </w:t>
      </w:r>
      <w:r w:rsidR="00F903FE">
        <w:t>of gait</w:t>
      </w:r>
      <w:r>
        <w:t xml:space="preserve"> analysis expressed into </w:t>
      </w:r>
      <w:r w:rsidR="00B45C68">
        <w:t xml:space="preserve">a single </w:t>
      </w:r>
      <w:r>
        <w:t xml:space="preserve">helical axis and </w:t>
      </w:r>
      <w:r w:rsidR="00B45C68">
        <w:t xml:space="preserve">joint motion expressed into a set of three Euler rotations. </w:t>
      </w:r>
    </w:p>
    <w:p w:rsidR="00010015" w:rsidRDefault="00010015"/>
    <w:p w:rsidR="00A40170" w:rsidRPr="00F903FE" w:rsidRDefault="00A40170">
      <w:pPr>
        <w:rPr>
          <w:color w:val="FF0000"/>
        </w:rPr>
      </w:pPr>
      <w:r w:rsidRPr="00F903FE">
        <w:rPr>
          <w:color w:val="FF0000"/>
        </w:rPr>
        <w:tab/>
        <w:t xml:space="preserve">Variability in gait analysis may come from the three axis of rotation (Euler angles), movement and axis definition. </w:t>
      </w:r>
    </w:p>
    <w:p w:rsidR="00AF7F6D" w:rsidRPr="00F903FE" w:rsidRDefault="00AF7F6D">
      <w:pPr>
        <w:rPr>
          <w:color w:val="FF0000"/>
        </w:rPr>
      </w:pPr>
      <w:r w:rsidRPr="00F903FE">
        <w:rPr>
          <w:color w:val="FF0000"/>
        </w:rPr>
        <w:tab/>
        <w:t xml:space="preserve">Literature </w:t>
      </w:r>
    </w:p>
    <w:p w:rsidR="00AF7F6D" w:rsidRPr="00F903FE" w:rsidRDefault="00AF7F6D">
      <w:pPr>
        <w:rPr>
          <w:color w:val="FF0000"/>
        </w:rPr>
      </w:pPr>
      <w:r w:rsidRPr="00F903FE">
        <w:rPr>
          <w:color w:val="FF0000"/>
        </w:rPr>
        <w:tab/>
        <w:t>Objective</w:t>
      </w:r>
      <w:r w:rsidR="00530728" w:rsidRPr="00F903FE">
        <w:rPr>
          <w:color w:val="FF0000"/>
        </w:rPr>
        <w:t>. Thus, the objective of this study is to compare the</w:t>
      </w:r>
      <w:r w:rsidR="00A40170" w:rsidRPr="00F903FE">
        <w:rPr>
          <w:color w:val="FF0000"/>
        </w:rPr>
        <w:t xml:space="preserve"> variability of kinematic data</w:t>
      </w:r>
      <w:r w:rsidR="00010015" w:rsidRPr="00F903FE">
        <w:rPr>
          <w:color w:val="FF0000"/>
        </w:rPr>
        <w:t xml:space="preserve"> expressed as helical axis and E</w:t>
      </w:r>
      <w:r w:rsidR="00A40170" w:rsidRPr="00F903FE">
        <w:rPr>
          <w:color w:val="FF0000"/>
        </w:rPr>
        <w:t>uler angles.</w:t>
      </w:r>
      <w:r w:rsidR="00530728" w:rsidRPr="00F903FE">
        <w:rPr>
          <w:color w:val="FF0000"/>
        </w:rPr>
        <w:t xml:space="preserve"> </w:t>
      </w:r>
    </w:p>
    <w:p w:rsidR="00AF7F6D" w:rsidRDefault="00AF7F6D">
      <w:r w:rsidRPr="00EA371C">
        <w:rPr>
          <w:b/>
        </w:rPr>
        <w:t>Methods</w:t>
      </w:r>
      <w:r>
        <w:t>.</w:t>
      </w:r>
    </w:p>
    <w:p w:rsidR="00AF7F6D" w:rsidRDefault="00AF7F6D">
      <w:r>
        <w:tab/>
        <w:t>Data Collection</w:t>
      </w:r>
    </w:p>
    <w:p w:rsidR="00AF7F6D" w:rsidRDefault="00AF7F6D">
      <w:r>
        <w:tab/>
        <w:t>Testing Procedure</w:t>
      </w:r>
      <w:r w:rsidR="0015440A">
        <w:t xml:space="preserve">. </w:t>
      </w:r>
    </w:p>
    <w:p w:rsidR="00666787" w:rsidRPr="00FA1750" w:rsidRDefault="00666787" w:rsidP="00666787">
      <w:pPr>
        <w:pStyle w:val="Paragraphedeliste"/>
        <w:rPr>
          <w:b/>
        </w:rPr>
      </w:pPr>
      <w:r w:rsidRPr="00FA1750">
        <w:rPr>
          <w:b/>
        </w:rPr>
        <w:t>Evaluation of variability among both methods to describe joint motion</w:t>
      </w:r>
    </w:p>
    <w:p w:rsidR="0081056B" w:rsidRDefault="005F73FF" w:rsidP="00DF4A0D">
      <w:pPr>
        <w:pStyle w:val="Paragraphedeliste"/>
        <w:numPr>
          <w:ilvl w:val="0"/>
          <w:numId w:val="1"/>
        </w:numPr>
      </w:pPr>
      <w:r>
        <w:t xml:space="preserve">The joint kinematics of the data is computed </w:t>
      </w:r>
    </w:p>
    <w:p w:rsidR="00DF4A0D" w:rsidRDefault="00DF4A0D" w:rsidP="00DF4A0D">
      <w:pPr>
        <w:pStyle w:val="Paragraphedeliste"/>
        <w:numPr>
          <w:ilvl w:val="0"/>
          <w:numId w:val="1"/>
        </w:numPr>
      </w:pPr>
      <w:r>
        <w:t>Extract rotation matrix from Euler angles.</w:t>
      </w:r>
    </w:p>
    <w:p w:rsidR="00DF4A0D" w:rsidRDefault="00DF4A0D" w:rsidP="00DF4A0D">
      <w:pPr>
        <w:pStyle w:val="Paragraphedeliste"/>
        <w:numPr>
          <w:ilvl w:val="0"/>
          <w:numId w:val="1"/>
        </w:numPr>
      </w:pPr>
      <w:r>
        <w:t xml:space="preserve">Extract k (attitude vector) and theta (helical angle) </w:t>
      </w:r>
    </w:p>
    <w:p w:rsidR="00DF4A0D" w:rsidRDefault="00DF4A0D" w:rsidP="00DF4A0D">
      <w:pPr>
        <w:pStyle w:val="Paragraphedeliste"/>
        <w:numPr>
          <w:ilvl w:val="0"/>
          <w:numId w:val="1"/>
        </w:numPr>
      </w:pPr>
      <w:r>
        <w:t>Calculate mean of k among all frames.</w:t>
      </w:r>
    </w:p>
    <w:p w:rsidR="00DF4A0D" w:rsidRDefault="00DF4A0D" w:rsidP="00DF4A0D">
      <w:pPr>
        <w:pStyle w:val="Paragraphedeliste"/>
        <w:numPr>
          <w:ilvl w:val="0"/>
          <w:numId w:val="1"/>
        </w:numPr>
      </w:pPr>
      <w:r>
        <w:t>Compute angle between mean k and instant k, (then normed)</w:t>
      </w:r>
      <w:bookmarkStart w:id="0" w:name="_GoBack"/>
      <w:bookmarkEnd w:id="0"/>
    </w:p>
    <w:p w:rsidR="00DF4A0D" w:rsidRDefault="00DF4A0D" w:rsidP="00DF4A0D">
      <w:pPr>
        <w:pStyle w:val="Paragraphedeliste"/>
        <w:numPr>
          <w:ilvl w:val="0"/>
          <w:numId w:val="1"/>
        </w:numPr>
      </w:pPr>
      <w:r>
        <w:lastRenderedPageBreak/>
        <w:t xml:space="preserve">Dot product mean k and </w:t>
      </w:r>
      <w:proofErr w:type="spellStart"/>
      <w:r>
        <w:t>instaneous</w:t>
      </w:r>
      <w:proofErr w:type="spellEnd"/>
      <w:r>
        <w:t xml:space="preserve"> k.</w:t>
      </w:r>
    </w:p>
    <w:p w:rsidR="00DF4A0D" w:rsidRDefault="00DF4A0D" w:rsidP="00DF4A0D">
      <w:pPr>
        <w:pStyle w:val="Paragraphedeliste"/>
        <w:numPr>
          <w:ilvl w:val="0"/>
          <w:numId w:val="1"/>
        </w:numPr>
      </w:pPr>
      <w:r>
        <w:t>Inverse cos = theta (helical angle)</w:t>
      </w:r>
    </w:p>
    <w:p w:rsidR="00DF4A0D" w:rsidRDefault="00DF4A0D" w:rsidP="00DF4A0D">
      <w:pPr>
        <w:pStyle w:val="Paragraphedeliste"/>
        <w:numPr>
          <w:ilvl w:val="0"/>
          <w:numId w:val="1"/>
        </w:numPr>
      </w:pPr>
      <w:r>
        <w:t xml:space="preserve">Project </w:t>
      </w:r>
      <w:proofErr w:type="spellStart"/>
      <w:r>
        <w:t>ktheta</w:t>
      </w:r>
      <w:proofErr w:type="spellEnd"/>
      <w:r>
        <w:t xml:space="preserve"> into 3 Euler sequence</w:t>
      </w:r>
    </w:p>
    <w:p w:rsidR="00DF4A0D" w:rsidRDefault="00DF4A0D" w:rsidP="00DF4A0D">
      <w:pPr>
        <w:pStyle w:val="Paragraphedeliste"/>
        <w:numPr>
          <w:ilvl w:val="0"/>
          <w:numId w:val="1"/>
        </w:numPr>
      </w:pPr>
      <w:r>
        <w:t xml:space="preserve">Calculate variability of Euler angles, projected </w:t>
      </w:r>
      <w:proofErr w:type="spellStart"/>
      <w:r>
        <w:t>ktheta</w:t>
      </w:r>
      <w:proofErr w:type="spellEnd"/>
      <w:r>
        <w:t xml:space="preserve"> into </w:t>
      </w:r>
      <w:proofErr w:type="spellStart"/>
      <w:proofErr w:type="gramStart"/>
      <w:r>
        <w:t>euler</w:t>
      </w:r>
      <w:proofErr w:type="spellEnd"/>
      <w:proofErr w:type="gramEnd"/>
      <w:r>
        <w:t xml:space="preserve"> angles, helical axis and variation of helical axis. (RMSD)</w:t>
      </w:r>
    </w:p>
    <w:p w:rsidR="00666787" w:rsidRPr="00FA1750" w:rsidRDefault="00666787" w:rsidP="00666787">
      <w:pPr>
        <w:ind w:left="720"/>
        <w:rPr>
          <w:b/>
        </w:rPr>
      </w:pPr>
      <w:r w:rsidRPr="00FA1750">
        <w:rPr>
          <w:b/>
        </w:rPr>
        <w:t>Rel</w:t>
      </w:r>
      <w:r w:rsidR="004C4421" w:rsidRPr="00FA1750">
        <w:rPr>
          <w:b/>
        </w:rPr>
        <w:t>a</w:t>
      </w:r>
      <w:r w:rsidRPr="00FA1750">
        <w:rPr>
          <w:b/>
        </w:rPr>
        <w:t xml:space="preserve">tionship between </w:t>
      </w:r>
      <w:r w:rsidR="004C4421" w:rsidRPr="00FA1750">
        <w:rPr>
          <w:b/>
        </w:rPr>
        <w:t>the parameters (theoretical concept) to understand the propagation of uncertainty.</w:t>
      </w:r>
    </w:p>
    <w:p w:rsidR="004576DE" w:rsidRDefault="004576DE"/>
    <w:p w:rsidR="004576DE" w:rsidRDefault="004576DE"/>
    <w:p w:rsidR="00AF7F6D" w:rsidRDefault="00AF7F6D">
      <w:r>
        <w:tab/>
        <w:t>Statistical Analysis</w:t>
      </w:r>
      <w:r w:rsidR="00666787">
        <w:t xml:space="preserve"> </w:t>
      </w:r>
    </w:p>
    <w:p w:rsidR="00AF7F6D" w:rsidRDefault="00AF7F6D">
      <w:r w:rsidRPr="00EA371C">
        <w:rPr>
          <w:b/>
        </w:rPr>
        <w:t>Results</w:t>
      </w:r>
      <w:r>
        <w:t>.</w:t>
      </w:r>
    </w:p>
    <w:tbl>
      <w:tblPr>
        <w:tblStyle w:val="TableauListe7Couleur-Accentuation1"/>
        <w:tblpPr w:leftFromText="180" w:rightFromText="180" w:vertAnchor="text" w:horzAnchor="page" w:tblpX="607" w:tblpY="576"/>
        <w:tblW w:w="10258" w:type="dxa"/>
        <w:tblLayout w:type="fixed"/>
        <w:tblLook w:val="04A0" w:firstRow="1" w:lastRow="0" w:firstColumn="1" w:lastColumn="0" w:noHBand="0" w:noVBand="1"/>
      </w:tblPr>
      <w:tblGrid>
        <w:gridCol w:w="931"/>
        <w:gridCol w:w="1054"/>
        <w:gridCol w:w="1275"/>
        <w:gridCol w:w="859"/>
        <w:gridCol w:w="1274"/>
        <w:gridCol w:w="848"/>
        <w:gridCol w:w="1409"/>
        <w:gridCol w:w="1138"/>
        <w:gridCol w:w="1470"/>
      </w:tblGrid>
      <w:tr w:rsidR="005F73FF" w:rsidTr="001B0B32">
        <w:trPr>
          <w:cnfStyle w:val="100000000000" w:firstRow="1" w:lastRow="0" w:firstColumn="0" w:lastColumn="0" w:oddVBand="0" w:evenVBand="0" w:oddHBand="0" w:evenHBand="0" w:firstRowFirstColumn="0" w:firstRowLastColumn="0" w:lastRowFirstColumn="0" w:lastRowLastColumn="0"/>
          <w:trHeight w:val="627"/>
        </w:trPr>
        <w:tc>
          <w:tcPr>
            <w:cnfStyle w:val="001000000100" w:firstRow="0" w:lastRow="0" w:firstColumn="1" w:lastColumn="0" w:oddVBand="0" w:evenVBand="0" w:oddHBand="0" w:evenHBand="0" w:firstRowFirstColumn="1" w:firstRowLastColumn="0" w:lastRowFirstColumn="0" w:lastRowLastColumn="0"/>
            <w:tcW w:w="10258" w:type="dxa"/>
            <w:gridSpan w:val="9"/>
          </w:tcPr>
          <w:p w:rsidR="005F73FF" w:rsidRPr="00827E0B" w:rsidRDefault="005F73FF" w:rsidP="001B0B32">
            <w:pPr>
              <w:jc w:val="left"/>
              <w:rPr>
                <w:b/>
                <w:bCs/>
                <w:color w:val="auto"/>
              </w:rPr>
            </w:pPr>
            <w:r w:rsidRPr="005307EE">
              <w:rPr>
                <w:b/>
                <w:bCs/>
                <w:color w:val="auto"/>
              </w:rPr>
              <w:t>Inter-Session (</w:t>
            </w:r>
            <w:proofErr w:type="spellStart"/>
            <w:r w:rsidRPr="005307EE">
              <w:rPr>
                <w:b/>
                <w:bCs/>
                <w:color w:val="auto"/>
              </w:rPr>
              <w:t>Geneve</w:t>
            </w:r>
            <w:proofErr w:type="spellEnd"/>
            <w:r w:rsidRPr="005307EE">
              <w:rPr>
                <w:b/>
                <w:bCs/>
                <w:color w:val="auto"/>
              </w:rPr>
              <w:t>)</w:t>
            </w:r>
            <w:r w:rsidR="00827E0B">
              <w:rPr>
                <w:b/>
                <w:bCs/>
                <w:color w:val="auto"/>
              </w:rPr>
              <w:t xml:space="preserve"> – RMSD°</w:t>
            </w:r>
          </w:p>
        </w:tc>
      </w:tr>
      <w:tr w:rsidR="005F73FF" w:rsidTr="001B0B3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931" w:type="dxa"/>
            <w:vAlign w:val="center"/>
          </w:tcPr>
          <w:p w:rsidR="005F73FF" w:rsidRPr="005307EE" w:rsidRDefault="005F73FF" w:rsidP="001B0B32">
            <w:pPr>
              <w:jc w:val="center"/>
              <w:rPr>
                <w:rFonts w:ascii="Calibri" w:hAnsi="Calibri" w:cs="Calibri"/>
                <w:color w:val="000000"/>
                <w:sz w:val="20"/>
              </w:rPr>
            </w:pPr>
            <w:r w:rsidRPr="005307EE">
              <w:rPr>
                <w:rFonts w:ascii="Calibri" w:hAnsi="Calibri" w:cs="Calibri"/>
                <w:color w:val="000000"/>
                <w:sz w:val="20"/>
              </w:rPr>
              <w:t>Row</w:t>
            </w:r>
          </w:p>
        </w:tc>
        <w:tc>
          <w:tcPr>
            <w:tcW w:w="1054" w:type="dxa"/>
          </w:tcPr>
          <w:p w:rsidR="005F73FF" w:rsidRPr="005307EE"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5307EE">
              <w:rPr>
                <w:rFonts w:ascii="Calibri" w:hAnsi="Calibri" w:cs="Calibri"/>
                <w:color w:val="000000"/>
                <w:sz w:val="20"/>
              </w:rPr>
              <w:t>Helical Angle</w:t>
            </w:r>
          </w:p>
        </w:tc>
        <w:tc>
          <w:tcPr>
            <w:tcW w:w="1275" w:type="dxa"/>
          </w:tcPr>
          <w:p w:rsidR="005F73FF" w:rsidRPr="005307EE"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5307EE">
              <w:rPr>
                <w:rFonts w:ascii="Calibri" w:hAnsi="Calibri" w:cs="Calibri"/>
                <w:color w:val="000000"/>
                <w:sz w:val="20"/>
              </w:rPr>
              <w:t>Variation Helical Axis</w:t>
            </w:r>
          </w:p>
        </w:tc>
        <w:tc>
          <w:tcPr>
            <w:tcW w:w="859" w:type="dxa"/>
          </w:tcPr>
          <w:p w:rsidR="005F73FF" w:rsidRPr="005307EE"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5307EE">
              <w:rPr>
                <w:rFonts w:ascii="Calibri" w:hAnsi="Calibri" w:cs="Calibri"/>
                <w:color w:val="000000"/>
                <w:sz w:val="20"/>
              </w:rPr>
              <w:t>Euler x</w:t>
            </w:r>
          </w:p>
        </w:tc>
        <w:tc>
          <w:tcPr>
            <w:tcW w:w="1274" w:type="dxa"/>
          </w:tcPr>
          <w:p w:rsidR="005F73FF" w:rsidRPr="005307EE"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5307EE">
              <w:rPr>
                <w:rFonts w:ascii="Calibri" w:hAnsi="Calibri" w:cs="Calibri"/>
                <w:color w:val="000000"/>
                <w:sz w:val="20"/>
              </w:rPr>
              <w:t xml:space="preserve">Projected </w:t>
            </w:r>
            <w:proofErr w:type="spellStart"/>
            <w:r w:rsidRPr="005307EE">
              <w:rPr>
                <w:rFonts w:ascii="Calibri" w:hAnsi="Calibri" w:cs="Calibri"/>
                <w:color w:val="000000"/>
                <w:sz w:val="20"/>
              </w:rPr>
              <w:t>KTheta</w:t>
            </w:r>
            <w:proofErr w:type="spellEnd"/>
            <w:r w:rsidRPr="005307EE">
              <w:rPr>
                <w:rFonts w:ascii="Calibri" w:hAnsi="Calibri" w:cs="Calibri"/>
                <w:color w:val="000000"/>
                <w:sz w:val="20"/>
              </w:rPr>
              <w:t xml:space="preserve"> x</w:t>
            </w:r>
          </w:p>
        </w:tc>
        <w:tc>
          <w:tcPr>
            <w:tcW w:w="848" w:type="dxa"/>
          </w:tcPr>
          <w:p w:rsidR="005F73FF" w:rsidRPr="005307EE"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5307EE">
              <w:rPr>
                <w:rFonts w:ascii="Calibri" w:hAnsi="Calibri" w:cs="Calibri"/>
                <w:color w:val="000000"/>
                <w:sz w:val="20"/>
              </w:rPr>
              <w:t>Euler y</w:t>
            </w:r>
          </w:p>
        </w:tc>
        <w:tc>
          <w:tcPr>
            <w:tcW w:w="1409" w:type="dxa"/>
          </w:tcPr>
          <w:p w:rsidR="005F73FF" w:rsidRPr="005307EE"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5307EE">
              <w:rPr>
                <w:rFonts w:ascii="Calibri" w:hAnsi="Calibri" w:cs="Calibri"/>
                <w:color w:val="000000"/>
                <w:sz w:val="20"/>
              </w:rPr>
              <w:t xml:space="preserve">Projected </w:t>
            </w:r>
            <w:proofErr w:type="spellStart"/>
            <w:r w:rsidRPr="005307EE">
              <w:rPr>
                <w:rFonts w:ascii="Calibri" w:hAnsi="Calibri" w:cs="Calibri"/>
                <w:color w:val="000000"/>
                <w:sz w:val="20"/>
              </w:rPr>
              <w:t>KTheta</w:t>
            </w:r>
            <w:proofErr w:type="spellEnd"/>
            <w:r w:rsidRPr="005307EE">
              <w:rPr>
                <w:rFonts w:ascii="Calibri" w:hAnsi="Calibri" w:cs="Calibri"/>
                <w:color w:val="000000"/>
                <w:sz w:val="20"/>
              </w:rPr>
              <w:t xml:space="preserve"> y</w:t>
            </w:r>
          </w:p>
        </w:tc>
        <w:tc>
          <w:tcPr>
            <w:tcW w:w="1138" w:type="dxa"/>
          </w:tcPr>
          <w:p w:rsidR="005F73FF" w:rsidRPr="005307EE"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5307EE">
              <w:rPr>
                <w:rFonts w:ascii="Calibri" w:hAnsi="Calibri" w:cs="Calibri"/>
                <w:color w:val="000000"/>
                <w:sz w:val="20"/>
              </w:rPr>
              <w:t>Euler z</w:t>
            </w:r>
          </w:p>
        </w:tc>
        <w:tc>
          <w:tcPr>
            <w:tcW w:w="1470" w:type="dxa"/>
          </w:tcPr>
          <w:p w:rsidR="005F73FF" w:rsidRPr="005307EE"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5307EE">
              <w:rPr>
                <w:rFonts w:ascii="Calibri" w:hAnsi="Calibri" w:cs="Calibri"/>
                <w:color w:val="000000"/>
                <w:sz w:val="20"/>
              </w:rPr>
              <w:t xml:space="preserve">Projected </w:t>
            </w:r>
            <w:proofErr w:type="spellStart"/>
            <w:r w:rsidRPr="005307EE">
              <w:rPr>
                <w:rFonts w:ascii="Calibri" w:hAnsi="Calibri" w:cs="Calibri"/>
                <w:color w:val="000000"/>
                <w:sz w:val="20"/>
              </w:rPr>
              <w:t>KTheta</w:t>
            </w:r>
            <w:proofErr w:type="spellEnd"/>
            <w:r w:rsidRPr="005307EE">
              <w:rPr>
                <w:rFonts w:ascii="Calibri" w:hAnsi="Calibri" w:cs="Calibri"/>
                <w:color w:val="000000"/>
                <w:sz w:val="20"/>
              </w:rPr>
              <w:t xml:space="preserve"> z</w:t>
            </w:r>
          </w:p>
        </w:tc>
      </w:tr>
      <w:tr w:rsidR="005F73FF" w:rsidTr="001B0B32">
        <w:trPr>
          <w:trHeight w:val="613"/>
        </w:trPr>
        <w:tc>
          <w:tcPr>
            <w:cnfStyle w:val="001000000000" w:firstRow="0" w:lastRow="0" w:firstColumn="1" w:lastColumn="0" w:oddVBand="0" w:evenVBand="0" w:oddHBand="0" w:evenHBand="0" w:firstRowFirstColumn="0" w:firstRowLastColumn="0" w:lastRowFirstColumn="0" w:lastRowLastColumn="0"/>
            <w:tcW w:w="931" w:type="dxa"/>
            <w:vAlign w:val="center"/>
          </w:tcPr>
          <w:p w:rsidR="005F73FF" w:rsidRDefault="005F73FF" w:rsidP="001B0B32">
            <w:pPr>
              <w:jc w:val="center"/>
              <w:rPr>
                <w:rFonts w:ascii="Calibri" w:hAnsi="Calibri" w:cs="Calibri"/>
                <w:color w:val="000000"/>
                <w:sz w:val="22"/>
              </w:rPr>
            </w:pPr>
            <w:r>
              <w:rPr>
                <w:rFonts w:ascii="Calibri" w:hAnsi="Calibri" w:cs="Calibri"/>
                <w:color w:val="000000"/>
                <w:sz w:val="22"/>
              </w:rPr>
              <w:t>Hip</w:t>
            </w:r>
          </w:p>
        </w:tc>
        <w:tc>
          <w:tcPr>
            <w:tcW w:w="1054"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3.79</w:t>
            </w:r>
          </w:p>
        </w:tc>
        <w:tc>
          <w:tcPr>
            <w:tcW w:w="1275"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20.72</w:t>
            </w:r>
          </w:p>
        </w:tc>
        <w:tc>
          <w:tcPr>
            <w:tcW w:w="859"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4.38</w:t>
            </w:r>
          </w:p>
        </w:tc>
        <w:tc>
          <w:tcPr>
            <w:tcW w:w="1274"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4.53</w:t>
            </w:r>
          </w:p>
        </w:tc>
        <w:tc>
          <w:tcPr>
            <w:tcW w:w="848"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w:t>
            </w:r>
          </w:p>
        </w:tc>
        <w:tc>
          <w:tcPr>
            <w:tcW w:w="1409"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8"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4.38</w:t>
            </w:r>
          </w:p>
        </w:tc>
        <w:tc>
          <w:tcPr>
            <w:tcW w:w="1470"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4.28</w:t>
            </w:r>
          </w:p>
        </w:tc>
      </w:tr>
      <w:tr w:rsidR="005F73FF" w:rsidTr="001B0B32">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931" w:type="dxa"/>
            <w:vAlign w:val="center"/>
          </w:tcPr>
          <w:p w:rsidR="005F73FF" w:rsidRDefault="005F73FF" w:rsidP="001B0B32">
            <w:pPr>
              <w:jc w:val="center"/>
              <w:rPr>
                <w:rFonts w:ascii="Calibri" w:hAnsi="Calibri" w:cs="Calibri"/>
                <w:color w:val="000000"/>
                <w:sz w:val="22"/>
              </w:rPr>
            </w:pPr>
            <w:r>
              <w:rPr>
                <w:rFonts w:ascii="Calibri" w:hAnsi="Calibri" w:cs="Calibri"/>
                <w:color w:val="000000"/>
                <w:sz w:val="22"/>
              </w:rPr>
              <w:t>Knee</w:t>
            </w:r>
          </w:p>
        </w:tc>
        <w:tc>
          <w:tcPr>
            <w:tcW w:w="1054"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3.12</w:t>
            </w:r>
          </w:p>
        </w:tc>
        <w:tc>
          <w:tcPr>
            <w:tcW w:w="1275"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6.35</w:t>
            </w:r>
          </w:p>
        </w:tc>
        <w:tc>
          <w:tcPr>
            <w:tcW w:w="859"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5.06</w:t>
            </w:r>
          </w:p>
        </w:tc>
        <w:tc>
          <w:tcPr>
            <w:tcW w:w="1274"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5.05</w:t>
            </w:r>
          </w:p>
        </w:tc>
        <w:tc>
          <w:tcPr>
            <w:tcW w:w="848"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409"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2.87</w:t>
            </w:r>
          </w:p>
        </w:tc>
        <w:tc>
          <w:tcPr>
            <w:tcW w:w="1138"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4.77</w:t>
            </w:r>
          </w:p>
        </w:tc>
        <w:tc>
          <w:tcPr>
            <w:tcW w:w="1470"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4.58</w:t>
            </w:r>
          </w:p>
        </w:tc>
      </w:tr>
      <w:tr w:rsidR="005F73FF" w:rsidTr="001B0B32">
        <w:trPr>
          <w:trHeight w:val="627"/>
        </w:trPr>
        <w:tc>
          <w:tcPr>
            <w:cnfStyle w:val="001000000000" w:firstRow="0" w:lastRow="0" w:firstColumn="1" w:lastColumn="0" w:oddVBand="0" w:evenVBand="0" w:oddHBand="0" w:evenHBand="0" w:firstRowFirstColumn="0" w:firstRowLastColumn="0" w:lastRowFirstColumn="0" w:lastRowLastColumn="0"/>
            <w:tcW w:w="931" w:type="dxa"/>
            <w:vAlign w:val="center"/>
          </w:tcPr>
          <w:p w:rsidR="005F73FF" w:rsidRDefault="005F73FF" w:rsidP="001B0B32">
            <w:pPr>
              <w:jc w:val="center"/>
              <w:rPr>
                <w:rFonts w:ascii="Calibri" w:hAnsi="Calibri" w:cs="Calibri"/>
                <w:color w:val="000000"/>
                <w:sz w:val="22"/>
              </w:rPr>
            </w:pPr>
            <w:r>
              <w:rPr>
                <w:rFonts w:ascii="Calibri" w:hAnsi="Calibri" w:cs="Calibri"/>
                <w:color w:val="000000"/>
                <w:sz w:val="22"/>
              </w:rPr>
              <w:t>Ankle</w:t>
            </w:r>
          </w:p>
        </w:tc>
        <w:tc>
          <w:tcPr>
            <w:tcW w:w="1054"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3.36</w:t>
            </w:r>
          </w:p>
        </w:tc>
        <w:tc>
          <w:tcPr>
            <w:tcW w:w="1275"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12.63</w:t>
            </w:r>
          </w:p>
        </w:tc>
        <w:tc>
          <w:tcPr>
            <w:tcW w:w="859"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4.85</w:t>
            </w:r>
          </w:p>
        </w:tc>
        <w:tc>
          <w:tcPr>
            <w:tcW w:w="1274"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4.98</w:t>
            </w:r>
          </w:p>
        </w:tc>
        <w:tc>
          <w:tcPr>
            <w:tcW w:w="848"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5.02</w:t>
            </w:r>
          </w:p>
        </w:tc>
        <w:tc>
          <w:tcPr>
            <w:tcW w:w="1409"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4.99</w:t>
            </w:r>
          </w:p>
        </w:tc>
        <w:tc>
          <w:tcPr>
            <w:tcW w:w="1138"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4.61</w:t>
            </w:r>
          </w:p>
        </w:tc>
        <w:tc>
          <w:tcPr>
            <w:tcW w:w="1470"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4.48</w:t>
            </w:r>
          </w:p>
        </w:tc>
      </w:tr>
      <w:tr w:rsidR="005F73FF" w:rsidTr="001B0B32">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931" w:type="dxa"/>
            <w:vAlign w:val="center"/>
          </w:tcPr>
          <w:p w:rsidR="005F73FF" w:rsidRDefault="005F73FF" w:rsidP="001B0B32">
            <w:pPr>
              <w:jc w:val="center"/>
              <w:rPr>
                <w:rFonts w:ascii="Calibri" w:hAnsi="Calibri" w:cs="Calibri"/>
                <w:color w:val="000000"/>
              </w:rPr>
            </w:pPr>
          </w:p>
        </w:tc>
        <w:tc>
          <w:tcPr>
            <w:tcW w:w="1054"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275"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859"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274"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848"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09"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8"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70"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5F73FF" w:rsidTr="001B0B32">
        <w:trPr>
          <w:trHeight w:val="627"/>
        </w:trPr>
        <w:tc>
          <w:tcPr>
            <w:cnfStyle w:val="001000000000" w:firstRow="0" w:lastRow="0" w:firstColumn="1" w:lastColumn="0" w:oddVBand="0" w:evenVBand="0" w:oddHBand="0" w:evenHBand="0" w:firstRowFirstColumn="0" w:firstRowLastColumn="0" w:lastRowFirstColumn="0" w:lastRowLastColumn="0"/>
            <w:tcW w:w="10258" w:type="dxa"/>
            <w:gridSpan w:val="9"/>
            <w:vAlign w:val="center"/>
          </w:tcPr>
          <w:p w:rsidR="005F73FF" w:rsidRPr="00827E0B" w:rsidRDefault="005F73FF" w:rsidP="001B0B32">
            <w:pPr>
              <w:jc w:val="left"/>
              <w:rPr>
                <w:b/>
                <w:bCs/>
                <w:color w:val="auto"/>
              </w:rPr>
            </w:pPr>
            <w:r>
              <w:rPr>
                <w:rFonts w:ascii="Calibri" w:hAnsi="Calibri" w:cs="Calibri"/>
                <w:color w:val="000000"/>
              </w:rPr>
              <w:t>Inter –Session (Montreal)</w:t>
            </w:r>
            <w:r w:rsidR="00827E0B">
              <w:rPr>
                <w:b/>
                <w:bCs/>
                <w:color w:val="auto"/>
              </w:rPr>
              <w:t>– RMSD°</w:t>
            </w:r>
          </w:p>
        </w:tc>
      </w:tr>
      <w:tr w:rsidR="005F73FF" w:rsidTr="001B0B32">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931" w:type="dxa"/>
            <w:vAlign w:val="center"/>
          </w:tcPr>
          <w:p w:rsidR="005F73FF" w:rsidRDefault="005F73FF" w:rsidP="001B0B32">
            <w:pPr>
              <w:jc w:val="center"/>
              <w:rPr>
                <w:rFonts w:ascii="Calibri" w:hAnsi="Calibri" w:cs="Calibri"/>
                <w:color w:val="000000"/>
                <w:sz w:val="22"/>
              </w:rPr>
            </w:pPr>
            <w:r>
              <w:rPr>
                <w:rFonts w:ascii="Calibri" w:hAnsi="Calibri" w:cs="Calibri"/>
                <w:color w:val="000000"/>
                <w:sz w:val="22"/>
              </w:rPr>
              <w:t>Hip</w:t>
            </w:r>
          </w:p>
        </w:tc>
        <w:tc>
          <w:tcPr>
            <w:tcW w:w="1054"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275"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13.22</w:t>
            </w:r>
          </w:p>
        </w:tc>
        <w:tc>
          <w:tcPr>
            <w:tcW w:w="859"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1.78</w:t>
            </w:r>
          </w:p>
        </w:tc>
        <w:tc>
          <w:tcPr>
            <w:tcW w:w="1274"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w:t>
            </w:r>
          </w:p>
        </w:tc>
        <w:tc>
          <w:tcPr>
            <w:tcW w:w="848"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1.34</w:t>
            </w:r>
          </w:p>
        </w:tc>
        <w:tc>
          <w:tcPr>
            <w:tcW w:w="1409"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w:t>
            </w:r>
          </w:p>
        </w:tc>
        <w:tc>
          <w:tcPr>
            <w:tcW w:w="1138"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4.99</w:t>
            </w:r>
          </w:p>
        </w:tc>
        <w:tc>
          <w:tcPr>
            <w:tcW w:w="1470"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4.88</w:t>
            </w:r>
          </w:p>
        </w:tc>
      </w:tr>
      <w:tr w:rsidR="005F73FF" w:rsidTr="001B0B32">
        <w:trPr>
          <w:trHeight w:val="627"/>
        </w:trPr>
        <w:tc>
          <w:tcPr>
            <w:cnfStyle w:val="001000000000" w:firstRow="0" w:lastRow="0" w:firstColumn="1" w:lastColumn="0" w:oddVBand="0" w:evenVBand="0" w:oddHBand="0" w:evenHBand="0" w:firstRowFirstColumn="0" w:firstRowLastColumn="0" w:lastRowFirstColumn="0" w:lastRowLastColumn="0"/>
            <w:tcW w:w="931" w:type="dxa"/>
            <w:vAlign w:val="center"/>
          </w:tcPr>
          <w:p w:rsidR="005F73FF" w:rsidRDefault="005F73FF" w:rsidP="001B0B32">
            <w:pPr>
              <w:jc w:val="center"/>
              <w:rPr>
                <w:rFonts w:ascii="Calibri" w:hAnsi="Calibri" w:cs="Calibri"/>
                <w:color w:val="000000"/>
                <w:sz w:val="22"/>
              </w:rPr>
            </w:pPr>
            <w:r>
              <w:rPr>
                <w:rFonts w:ascii="Calibri" w:hAnsi="Calibri" w:cs="Calibri"/>
                <w:color w:val="000000"/>
                <w:sz w:val="22"/>
              </w:rPr>
              <w:t>Knee</w:t>
            </w:r>
          </w:p>
        </w:tc>
        <w:tc>
          <w:tcPr>
            <w:tcW w:w="1054"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4.39</w:t>
            </w:r>
          </w:p>
        </w:tc>
        <w:tc>
          <w:tcPr>
            <w:tcW w:w="1275"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5.19</w:t>
            </w:r>
          </w:p>
        </w:tc>
        <w:tc>
          <w:tcPr>
            <w:tcW w:w="859"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4.20</w:t>
            </w:r>
          </w:p>
        </w:tc>
        <w:tc>
          <w:tcPr>
            <w:tcW w:w="1274"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4.22</w:t>
            </w:r>
          </w:p>
        </w:tc>
        <w:tc>
          <w:tcPr>
            <w:tcW w:w="848"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w:t>
            </w:r>
          </w:p>
        </w:tc>
        <w:tc>
          <w:tcPr>
            <w:tcW w:w="1409"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5.38</w:t>
            </w:r>
          </w:p>
        </w:tc>
        <w:tc>
          <w:tcPr>
            <w:tcW w:w="1138"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9.28</w:t>
            </w:r>
          </w:p>
        </w:tc>
        <w:tc>
          <w:tcPr>
            <w:tcW w:w="1470"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8.33</w:t>
            </w:r>
          </w:p>
        </w:tc>
      </w:tr>
      <w:tr w:rsidR="005F73FF" w:rsidTr="001B0B32">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931" w:type="dxa"/>
            <w:vAlign w:val="center"/>
          </w:tcPr>
          <w:p w:rsidR="005F73FF" w:rsidRDefault="005F73FF" w:rsidP="001B0B32">
            <w:pPr>
              <w:jc w:val="center"/>
              <w:rPr>
                <w:rFonts w:ascii="Calibri" w:hAnsi="Calibri" w:cs="Calibri"/>
                <w:color w:val="000000"/>
                <w:sz w:val="22"/>
              </w:rPr>
            </w:pPr>
            <w:r>
              <w:rPr>
                <w:rFonts w:ascii="Calibri" w:hAnsi="Calibri" w:cs="Calibri"/>
                <w:color w:val="000000"/>
                <w:sz w:val="22"/>
              </w:rPr>
              <w:t>Ankle</w:t>
            </w:r>
          </w:p>
        </w:tc>
        <w:tc>
          <w:tcPr>
            <w:tcW w:w="1054"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3.54</w:t>
            </w:r>
          </w:p>
        </w:tc>
        <w:tc>
          <w:tcPr>
            <w:tcW w:w="1275"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15.00</w:t>
            </w:r>
          </w:p>
        </w:tc>
        <w:tc>
          <w:tcPr>
            <w:tcW w:w="859"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3.55</w:t>
            </w:r>
          </w:p>
        </w:tc>
        <w:tc>
          <w:tcPr>
            <w:tcW w:w="1274"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3.69</w:t>
            </w:r>
          </w:p>
        </w:tc>
        <w:tc>
          <w:tcPr>
            <w:tcW w:w="848"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w:t>
            </w:r>
          </w:p>
        </w:tc>
        <w:tc>
          <w:tcPr>
            <w:tcW w:w="1409"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3.95</w:t>
            </w:r>
          </w:p>
        </w:tc>
        <w:tc>
          <w:tcPr>
            <w:tcW w:w="1138"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6.77</w:t>
            </w:r>
          </w:p>
        </w:tc>
        <w:tc>
          <w:tcPr>
            <w:tcW w:w="1470"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6.57</w:t>
            </w:r>
          </w:p>
        </w:tc>
      </w:tr>
      <w:tr w:rsidR="005F73FF" w:rsidTr="001B0B32">
        <w:trPr>
          <w:trHeight w:val="627"/>
        </w:trPr>
        <w:tc>
          <w:tcPr>
            <w:cnfStyle w:val="001000000000" w:firstRow="0" w:lastRow="0" w:firstColumn="1" w:lastColumn="0" w:oddVBand="0" w:evenVBand="0" w:oddHBand="0" w:evenHBand="0" w:firstRowFirstColumn="0" w:firstRowLastColumn="0" w:lastRowFirstColumn="0" w:lastRowLastColumn="0"/>
            <w:tcW w:w="931" w:type="dxa"/>
            <w:tcBorders>
              <w:right w:val="single" w:sz="4" w:space="0" w:color="auto"/>
            </w:tcBorders>
            <w:vAlign w:val="center"/>
          </w:tcPr>
          <w:p w:rsidR="005F73FF" w:rsidRDefault="005F73FF" w:rsidP="001B0B32">
            <w:pPr>
              <w:jc w:val="center"/>
              <w:rPr>
                <w:rFonts w:ascii="Calibri" w:hAnsi="Calibri" w:cs="Calibri"/>
                <w:color w:val="000000"/>
              </w:rPr>
            </w:pPr>
          </w:p>
        </w:tc>
        <w:tc>
          <w:tcPr>
            <w:tcW w:w="1054" w:type="dxa"/>
            <w:tcBorders>
              <w:left w:val="single" w:sz="4" w:space="0" w:color="auto"/>
            </w:tcBorders>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75"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859"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274"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848"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409"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8"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470"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5F73FF" w:rsidTr="001B0B32">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0258" w:type="dxa"/>
            <w:gridSpan w:val="9"/>
            <w:vAlign w:val="center"/>
          </w:tcPr>
          <w:p w:rsidR="005F73FF" w:rsidRPr="00827E0B" w:rsidRDefault="005F73FF" w:rsidP="001B0B32">
            <w:pPr>
              <w:jc w:val="left"/>
              <w:rPr>
                <w:b/>
                <w:bCs/>
                <w:color w:val="auto"/>
              </w:rPr>
            </w:pPr>
            <w:r>
              <w:rPr>
                <w:rFonts w:ascii="Calibri" w:hAnsi="Calibri" w:cs="Calibri"/>
                <w:color w:val="000000"/>
              </w:rPr>
              <w:t>Intra-Session (</w:t>
            </w:r>
            <w:proofErr w:type="spellStart"/>
            <w:r>
              <w:rPr>
                <w:rFonts w:ascii="Calibri" w:hAnsi="Calibri" w:cs="Calibri"/>
                <w:color w:val="000000"/>
              </w:rPr>
              <w:t>Geneve</w:t>
            </w:r>
            <w:proofErr w:type="spellEnd"/>
            <w:r>
              <w:rPr>
                <w:rFonts w:ascii="Calibri" w:hAnsi="Calibri" w:cs="Calibri"/>
                <w:color w:val="000000"/>
              </w:rPr>
              <w:t>)</w:t>
            </w:r>
            <w:r w:rsidR="00827E0B">
              <w:rPr>
                <w:b/>
                <w:bCs/>
                <w:color w:val="auto"/>
              </w:rPr>
              <w:t>– RMSD°</w:t>
            </w:r>
          </w:p>
        </w:tc>
      </w:tr>
      <w:tr w:rsidR="005F73FF" w:rsidTr="001B0B32">
        <w:trPr>
          <w:trHeight w:val="627"/>
        </w:trPr>
        <w:tc>
          <w:tcPr>
            <w:cnfStyle w:val="001000000000" w:firstRow="0" w:lastRow="0" w:firstColumn="1" w:lastColumn="0" w:oddVBand="0" w:evenVBand="0" w:oddHBand="0" w:evenHBand="0" w:firstRowFirstColumn="0" w:firstRowLastColumn="0" w:lastRowFirstColumn="0" w:lastRowLastColumn="0"/>
            <w:tcW w:w="931" w:type="dxa"/>
            <w:vAlign w:val="center"/>
          </w:tcPr>
          <w:p w:rsidR="005F73FF" w:rsidRDefault="005F73FF" w:rsidP="001B0B32">
            <w:pPr>
              <w:jc w:val="center"/>
              <w:rPr>
                <w:rFonts w:ascii="Calibri" w:hAnsi="Calibri" w:cs="Calibri"/>
                <w:color w:val="000000"/>
                <w:sz w:val="22"/>
              </w:rPr>
            </w:pPr>
            <w:r>
              <w:rPr>
                <w:rFonts w:ascii="Calibri" w:hAnsi="Calibri" w:cs="Calibri"/>
                <w:color w:val="000000"/>
                <w:sz w:val="22"/>
              </w:rPr>
              <w:t>Hip</w:t>
            </w:r>
          </w:p>
        </w:tc>
        <w:tc>
          <w:tcPr>
            <w:tcW w:w="1054"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w:t>
            </w:r>
          </w:p>
        </w:tc>
        <w:tc>
          <w:tcPr>
            <w:tcW w:w="1275"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3.01</w:t>
            </w:r>
          </w:p>
        </w:tc>
        <w:tc>
          <w:tcPr>
            <w:tcW w:w="859"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w:t>
            </w:r>
          </w:p>
        </w:tc>
        <w:tc>
          <w:tcPr>
            <w:tcW w:w="1274"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848"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0.74</w:t>
            </w:r>
          </w:p>
        </w:tc>
        <w:tc>
          <w:tcPr>
            <w:tcW w:w="1409"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0.89</w:t>
            </w:r>
          </w:p>
        </w:tc>
        <w:tc>
          <w:tcPr>
            <w:tcW w:w="1138"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w:t>
            </w:r>
          </w:p>
        </w:tc>
        <w:tc>
          <w:tcPr>
            <w:tcW w:w="1470"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r>
      <w:tr w:rsidR="005F73FF" w:rsidTr="001B0B32">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931" w:type="dxa"/>
            <w:vAlign w:val="center"/>
          </w:tcPr>
          <w:p w:rsidR="005F73FF" w:rsidRDefault="005F73FF" w:rsidP="001B0B32">
            <w:pPr>
              <w:jc w:val="center"/>
              <w:rPr>
                <w:rFonts w:ascii="Calibri" w:hAnsi="Calibri" w:cs="Calibri"/>
                <w:color w:val="000000"/>
                <w:sz w:val="22"/>
              </w:rPr>
            </w:pPr>
            <w:r>
              <w:rPr>
                <w:rFonts w:ascii="Calibri" w:hAnsi="Calibri" w:cs="Calibri"/>
                <w:color w:val="000000"/>
                <w:sz w:val="22"/>
              </w:rPr>
              <w:t>Knee</w:t>
            </w:r>
          </w:p>
        </w:tc>
        <w:tc>
          <w:tcPr>
            <w:tcW w:w="1054"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275"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3.01</w:t>
            </w:r>
          </w:p>
        </w:tc>
        <w:tc>
          <w:tcPr>
            <w:tcW w:w="859"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2.36</w:t>
            </w:r>
          </w:p>
        </w:tc>
        <w:tc>
          <w:tcPr>
            <w:tcW w:w="1274"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2.34</w:t>
            </w:r>
          </w:p>
        </w:tc>
        <w:tc>
          <w:tcPr>
            <w:tcW w:w="848"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0.59</w:t>
            </w:r>
          </w:p>
        </w:tc>
        <w:tc>
          <w:tcPr>
            <w:tcW w:w="1409" w:type="dxa"/>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0.85</w:t>
            </w:r>
          </w:p>
        </w:tc>
        <w:tc>
          <w:tcPr>
            <w:tcW w:w="1138"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1.58</w:t>
            </w:r>
          </w:p>
        </w:tc>
        <w:tc>
          <w:tcPr>
            <w:tcW w:w="1470" w:type="dxa"/>
            <w:shd w:val="clear" w:color="auto" w:fill="E7E6E6" w:themeFill="background2"/>
            <w:vAlign w:val="center"/>
          </w:tcPr>
          <w:p w:rsidR="005F73FF" w:rsidRDefault="005F73FF" w:rsidP="001B0B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w:t>
            </w:r>
          </w:p>
        </w:tc>
      </w:tr>
      <w:tr w:rsidR="005F73FF" w:rsidTr="001B0B32">
        <w:trPr>
          <w:trHeight w:val="627"/>
        </w:trPr>
        <w:tc>
          <w:tcPr>
            <w:cnfStyle w:val="001000000000" w:firstRow="0" w:lastRow="0" w:firstColumn="1" w:lastColumn="0" w:oddVBand="0" w:evenVBand="0" w:oddHBand="0" w:evenHBand="0" w:firstRowFirstColumn="0" w:firstRowLastColumn="0" w:lastRowFirstColumn="0" w:lastRowLastColumn="0"/>
            <w:tcW w:w="931" w:type="dxa"/>
            <w:vAlign w:val="center"/>
          </w:tcPr>
          <w:p w:rsidR="005F73FF" w:rsidRDefault="005F73FF" w:rsidP="001B0B32">
            <w:pPr>
              <w:jc w:val="center"/>
              <w:rPr>
                <w:rFonts w:ascii="Calibri" w:hAnsi="Calibri" w:cs="Calibri"/>
                <w:color w:val="000000"/>
                <w:sz w:val="22"/>
              </w:rPr>
            </w:pPr>
            <w:r>
              <w:rPr>
                <w:rFonts w:ascii="Calibri" w:hAnsi="Calibri" w:cs="Calibri"/>
                <w:color w:val="000000"/>
                <w:sz w:val="22"/>
              </w:rPr>
              <w:t>Ankle</w:t>
            </w:r>
          </w:p>
        </w:tc>
        <w:tc>
          <w:tcPr>
            <w:tcW w:w="1054"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2.02</w:t>
            </w:r>
          </w:p>
        </w:tc>
        <w:tc>
          <w:tcPr>
            <w:tcW w:w="1275"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9.06</w:t>
            </w:r>
          </w:p>
        </w:tc>
        <w:tc>
          <w:tcPr>
            <w:tcW w:w="859"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274"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848"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1.73</w:t>
            </w:r>
          </w:p>
        </w:tc>
        <w:tc>
          <w:tcPr>
            <w:tcW w:w="1409" w:type="dxa"/>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1.73</w:t>
            </w:r>
          </w:p>
        </w:tc>
        <w:tc>
          <w:tcPr>
            <w:tcW w:w="1138"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w:t>
            </w:r>
          </w:p>
        </w:tc>
        <w:tc>
          <w:tcPr>
            <w:tcW w:w="1470" w:type="dxa"/>
            <w:shd w:val="clear" w:color="auto" w:fill="E7E6E6" w:themeFill="background2"/>
            <w:vAlign w:val="center"/>
          </w:tcPr>
          <w:p w:rsidR="005F73FF" w:rsidRDefault="005F73FF" w:rsidP="001B0B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2.24</w:t>
            </w:r>
          </w:p>
        </w:tc>
      </w:tr>
    </w:tbl>
    <w:p w:rsidR="005F73FF" w:rsidRDefault="005F73FF"/>
    <w:p w:rsidR="00D60909" w:rsidRDefault="00D60909">
      <w:pPr>
        <w:rPr>
          <w:b/>
        </w:rPr>
      </w:pPr>
    </w:p>
    <w:p w:rsidR="00D60909" w:rsidRDefault="00D60909">
      <w:r>
        <w:t xml:space="preserve">Result 1. </w:t>
      </w:r>
      <w:r w:rsidR="004655D2">
        <w:t>Variability helical angle &lt; Euler angles (for most of the joint angles)</w:t>
      </w:r>
    </w:p>
    <w:p w:rsidR="004655D2" w:rsidRDefault="004655D2">
      <w:r>
        <w:t xml:space="preserve">Result 2. Variability of Euler angles and projected </w:t>
      </w:r>
      <w:proofErr w:type="spellStart"/>
      <w:r>
        <w:t>ktheta</w:t>
      </w:r>
      <w:proofErr w:type="spellEnd"/>
      <w:r>
        <w:t xml:space="preserve"> very similar.</w:t>
      </w:r>
    </w:p>
    <w:p w:rsidR="004655D2" w:rsidRDefault="004655D2">
      <w:r>
        <w:t>Result 3. Variability between session &gt; within session.</w:t>
      </w:r>
    </w:p>
    <w:p w:rsidR="004655D2" w:rsidRDefault="004655D2">
      <w:r>
        <w:t xml:space="preserve">Result 4. Variation Helical </w:t>
      </w:r>
      <w:proofErr w:type="gramStart"/>
      <w:r>
        <w:t>axis ??</w:t>
      </w:r>
      <w:proofErr w:type="gramEnd"/>
    </w:p>
    <w:p w:rsidR="004655D2" w:rsidRPr="004655D2" w:rsidRDefault="004655D2">
      <w:pPr>
        <w:rPr>
          <w:color w:val="FF0000"/>
        </w:rPr>
      </w:pPr>
      <w:r w:rsidRPr="004655D2">
        <w:rPr>
          <w:color w:val="FF0000"/>
        </w:rPr>
        <w:t xml:space="preserve">Result 5. Better reproducibility Montreal data for </w:t>
      </w:r>
      <w:proofErr w:type="spellStart"/>
      <w:r w:rsidRPr="004655D2">
        <w:rPr>
          <w:color w:val="FF0000"/>
        </w:rPr>
        <w:t>ext</w:t>
      </w:r>
      <w:proofErr w:type="spellEnd"/>
      <w:r w:rsidRPr="004655D2">
        <w:rPr>
          <w:color w:val="FF0000"/>
        </w:rPr>
        <w:t>/flex and add/</w:t>
      </w:r>
      <w:proofErr w:type="spellStart"/>
      <w:r w:rsidRPr="004655D2">
        <w:rPr>
          <w:color w:val="FF0000"/>
        </w:rPr>
        <w:t>abd</w:t>
      </w:r>
      <w:proofErr w:type="spellEnd"/>
      <w:r w:rsidRPr="004655D2">
        <w:rPr>
          <w:color w:val="FF0000"/>
        </w:rPr>
        <w:t xml:space="preserve"> but better in Geneva data for rotation.  </w:t>
      </w:r>
    </w:p>
    <w:p w:rsidR="00D60909" w:rsidRDefault="00D60909">
      <w:pPr>
        <w:rPr>
          <w:b/>
        </w:rPr>
      </w:pPr>
    </w:p>
    <w:p w:rsidR="00AF7F6D" w:rsidRDefault="00AF7F6D">
      <w:r w:rsidRPr="00EA371C">
        <w:rPr>
          <w:b/>
        </w:rPr>
        <w:t>Discussion</w:t>
      </w:r>
      <w:r>
        <w:t>.</w:t>
      </w:r>
    </w:p>
    <w:p w:rsidR="0078300C" w:rsidRDefault="0078300C">
      <w:r>
        <w:t>Evaluating how the variability propagates is important to understand why some of the angles are, for instance, more uncertain than others.</w:t>
      </w:r>
    </w:p>
    <w:p w:rsidR="00666787" w:rsidRDefault="00666787"/>
    <w:p w:rsidR="00AF7F6D" w:rsidRDefault="00AF7F6D">
      <w:r w:rsidRPr="00EA371C">
        <w:rPr>
          <w:b/>
        </w:rPr>
        <w:t>Conclusion</w:t>
      </w:r>
      <w:r>
        <w:t xml:space="preserve">. </w:t>
      </w:r>
    </w:p>
    <w:p w:rsidR="00AF7F6D" w:rsidRDefault="00AF7F6D"/>
    <w:sectPr w:rsidR="00AF7F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A2E7A"/>
    <w:multiLevelType w:val="hybridMultilevel"/>
    <w:tmpl w:val="926E2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3F0FAD"/>
    <w:multiLevelType w:val="hybridMultilevel"/>
    <w:tmpl w:val="5680FBD4"/>
    <w:lvl w:ilvl="0" w:tplc="3E9EA7D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F6D"/>
    <w:rsid w:val="00007F39"/>
    <w:rsid w:val="00010015"/>
    <w:rsid w:val="00012A49"/>
    <w:rsid w:val="000533CE"/>
    <w:rsid w:val="00070FAF"/>
    <w:rsid w:val="0015440A"/>
    <w:rsid w:val="001E0F55"/>
    <w:rsid w:val="002047FC"/>
    <w:rsid w:val="002E0AD2"/>
    <w:rsid w:val="002E4F2C"/>
    <w:rsid w:val="0037113A"/>
    <w:rsid w:val="004576DE"/>
    <w:rsid w:val="004655D2"/>
    <w:rsid w:val="004C4421"/>
    <w:rsid w:val="004E7C91"/>
    <w:rsid w:val="00530728"/>
    <w:rsid w:val="005F73FF"/>
    <w:rsid w:val="00666787"/>
    <w:rsid w:val="006D5AFB"/>
    <w:rsid w:val="0078300C"/>
    <w:rsid w:val="007E3764"/>
    <w:rsid w:val="0081056B"/>
    <w:rsid w:val="00827E0B"/>
    <w:rsid w:val="009E7AAA"/>
    <w:rsid w:val="00A40170"/>
    <w:rsid w:val="00AF7F6D"/>
    <w:rsid w:val="00B45C68"/>
    <w:rsid w:val="00B64795"/>
    <w:rsid w:val="00D60909"/>
    <w:rsid w:val="00DF4A0D"/>
    <w:rsid w:val="00EA371C"/>
    <w:rsid w:val="00F903FE"/>
    <w:rsid w:val="00FA1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B04DD-A3F2-48E2-A75C-1856C78F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7Couleur-Accentuation1">
    <w:name w:val="List Table 7 Colorful Accent 1"/>
    <w:basedOn w:val="TableauNormal"/>
    <w:uiPriority w:val="52"/>
    <w:rsid w:val="005F73F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agraphedeliste">
    <w:name w:val="List Paragraph"/>
    <w:basedOn w:val="Normal"/>
    <w:uiPriority w:val="34"/>
    <w:qFormat/>
    <w:rsid w:val="00DF4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B33EEA7-3D89-4720-A0DC-DDCBAFA4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Pages>
  <Words>1891</Words>
  <Characters>10779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Hôpitaux Universitaires de Genève</Company>
  <LinksUpToDate>false</LinksUpToDate>
  <CharactersWithSpaces>12645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CARDOSO FONSECA Mickaël</dc:creator>
  <cp:keywords/>
  <dc:description/>
  <cp:lastModifiedBy>CARDOSO FONSECA Mickaël</cp:lastModifiedBy>
  <cp:revision>5</cp:revision>
  <dcterms:created xsi:type="dcterms:W3CDTF">2019-12-03T08:11:00Z</dcterms:created>
  <dcterms:modified xsi:type="dcterms:W3CDTF">2020-01-22T11:37:00Z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http://www.zotero.org/styles/bmj</vt:lpwstr>
  </property>
  <property fmtid="{D5CDD505-2E9C-101B-9397-08002B2CF9AE}" pid="11" name="Mendeley Recent Style Name 4_1">
    <vt:lpwstr>BMJ</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d57abc32-501b-3d8a-86fa-47523b489892</vt:lpwstr>
  </property>
  <property fmtid="{D5CDD505-2E9C-101B-9397-08002B2CF9AE}" pid="24" name="Mendeley Citation Style_1">
    <vt:lpwstr>http://www.zotero.org/styles/apa</vt:lpwstr>
  </property>
</Properties>
</file>