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p w14:paraId="46C1FE0E" w14:textId="77777777" w:rsidR="002F2B9E" w:rsidRDefault="002F2B9E" w:rsidP="007D18C3">
          <w:pPr>
            <w:pStyle w:val="Titre1"/>
          </w:pPr>
          <w:r>
            <w:rPr>
              <w:noProof/>
            </w:rPr>
            <w:lastRenderedPageBreak/>
            <w:drawing>
              <wp:anchor distT="0" distB="0" distL="114300" distR="114300" simplePos="0" relativeHeight="251665408" behindDoc="0" locked="0" layoutInCell="1" allowOverlap="1" wp14:anchorId="1183498E" wp14:editId="080D4130">
                <wp:simplePos x="0" y="0"/>
                <wp:positionH relativeFrom="column">
                  <wp:posOffset>10259941</wp:posOffset>
                </wp:positionH>
                <wp:positionV relativeFrom="paragraph">
                  <wp:posOffset>2697929</wp:posOffset>
                </wp:positionV>
                <wp:extent cx="3276000" cy="6174000"/>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3276000" cy="6174000"/>
                        </a:xfrm>
                        <a:prstGeom prst="rect">
                          <a:avLst/>
                        </a:prstGeom>
                      </pic:spPr>
                    </pic:pic>
                  </a:graphicData>
                </a:graphic>
                <wp14:sizeRelH relativeFrom="margin">
                  <wp14:pctWidth>0</wp14:pctWidth>
                </wp14:sizeRelH>
                <wp14:sizeRelV relativeFrom="margin">
                  <wp14:pctHeight>0</wp14:pctHeight>
                </wp14:sizeRelV>
              </wp:anchor>
            </w:drawing>
          </w:r>
          <w:r w:rsidR="007076B3">
            <w:rPr>
              <w:noProof/>
            </w:rPr>
            <w:drawing>
              <wp:anchor distT="0" distB="0" distL="114300" distR="114300" simplePos="0" relativeHeight="251660288" behindDoc="0" locked="0" layoutInCell="1" allowOverlap="1" wp14:anchorId="35A892C7" wp14:editId="5813A417">
                <wp:simplePos x="0" y="0"/>
                <wp:positionH relativeFrom="column">
                  <wp:posOffset>-161608</wp:posOffset>
                </wp:positionH>
                <wp:positionV relativeFrom="paragraph">
                  <wp:posOffset>1794392</wp:posOffset>
                </wp:positionV>
                <wp:extent cx="9404784" cy="76631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9404784" cy="7663157"/>
                        </a:xfrm>
                        <a:prstGeom prst="rect">
                          <a:avLst/>
                        </a:prstGeom>
                      </pic:spPr>
                    </pic:pic>
                  </a:graphicData>
                </a:graphic>
                <wp14:sizeRelH relativeFrom="margin">
                  <wp14:pctWidth>0</wp14:pctWidth>
                </wp14:sizeRelH>
                <wp14:sizeRelV relativeFrom="margin">
                  <wp14:pctHeight>0</wp14:pctHeight>
                </wp14:sizeRelV>
              </wp:anchor>
            </w:drawing>
          </w:r>
          <w:r w:rsidR="007D18C3">
            <w:t>S</w:t>
          </w:r>
          <w:r>
            <w:t>tructure MVC</w:t>
          </w:r>
        </w:p>
        <w:p w14:paraId="58EEB2B5" w14:textId="77777777" w:rsidR="002F2B9E" w:rsidRDefault="00000000" w:rsidP="002F2B9E"/>
      </w:sdtContent>
    </w:sdt>
    <w:p w14:paraId="05EC6CCD" w14:textId="461CC642" w:rsidR="002F2B9E" w:rsidRDefault="002F2B9E" w:rsidP="002F2B9E">
      <w:r>
        <w:t>Comme nous pouvons le constater, il existe trois principaux MVC dans l’application LeBaluchon.</w:t>
      </w:r>
    </w:p>
    <w:p w14:paraId="310AF466" w14:textId="584AB6B3" w:rsidR="002F2B9E" w:rsidRDefault="002F2B9E" w:rsidP="002F2B9E">
      <w:r>
        <w:t>Nous allons regarder en détail chacun d’entre eux.</w:t>
      </w:r>
    </w:p>
    <w:p w14:paraId="454FCEEA" w14:textId="21C1B157" w:rsidR="002F2B9E" w:rsidRDefault="002F2B9E" w:rsidP="002F2B9E"/>
    <w:p w14:paraId="1EBD1147" w14:textId="63C74BA6" w:rsidR="002F2B9E" w:rsidRDefault="002F2B9E" w:rsidP="002F2B9E">
      <w:pPr>
        <w:pStyle w:val="Titre2"/>
      </w:pPr>
      <w:r>
        <w:t>Schéma et Arborescence</w:t>
      </w:r>
    </w:p>
    <w:p w14:paraId="7E08D230" w14:textId="6C384794" w:rsidR="00FA6069" w:rsidRDefault="00FA6069" w:rsidP="007D18C3">
      <w:pPr>
        <w:pStyle w:val="Titre1"/>
        <w:sectPr w:rsidR="00FA6069" w:rsidSect="007076B3">
          <w:pgSz w:w="23820" w:h="16840" w:orient="landscape"/>
          <w:pgMar w:top="1417" w:right="1417" w:bottom="1417" w:left="1417" w:header="708" w:footer="708" w:gutter="0"/>
          <w:pgNumType w:start="0"/>
          <w:cols w:space="708"/>
          <w:titlePg/>
          <w:docGrid w:linePitch="360"/>
        </w:sectPr>
      </w:pPr>
    </w:p>
    <w:p w14:paraId="7E06BA71" w14:textId="06FBA5B3" w:rsidR="007D18C3" w:rsidRDefault="007D18C3" w:rsidP="002F2B9E">
      <w:pPr>
        <w:pStyle w:val="Titre3"/>
      </w:pPr>
      <w:r>
        <w:lastRenderedPageBreak/>
        <w:t>MVC Exchange</w:t>
      </w:r>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52075BF1" w14:textId="144902AE" w:rsidR="007D18C3" w:rsidRDefault="007D18C3" w:rsidP="007D18C3">
      <w:r>
        <w:t xml:space="preserve">Dès son arrivée, </w:t>
      </w:r>
      <w:r w:rsidR="00EB3B68">
        <w:t>il</w:t>
      </w:r>
      <w:r>
        <w:t xml:space="preserve"> se voit afficher le taux de change EUR vers USD, et vice</w:t>
      </w:r>
      <w:r w:rsidR="00F12390">
        <w:t>-</w:t>
      </w:r>
      <w:r>
        <w:t>versa</w:t>
      </w:r>
      <w:r w:rsidR="00C92D8F">
        <w:t xml:space="preserve"> (le Contrôleur demande au model le taux, via son </w:t>
      </w:r>
      <w:proofErr w:type="spellStart"/>
      <w:proofErr w:type="gramStart"/>
      <w:r w:rsidR="00C92D8F">
        <w:t>viewDidLoad</w:t>
      </w:r>
      <w:proofErr w:type="spellEnd"/>
      <w:r w:rsidR="00C92D8F">
        <w:t>(</w:t>
      </w:r>
      <w:proofErr w:type="gramEnd"/>
      <w:r w:rsidR="00C92D8F">
        <w:t>))</w:t>
      </w:r>
      <w:r>
        <w:t>.</w:t>
      </w:r>
    </w:p>
    <w:p w14:paraId="797BC201" w14:textId="1BCE9DA5" w:rsidR="007D18C3" w:rsidRDefault="007D18C3" w:rsidP="007D18C3"/>
    <w:p w14:paraId="60829164" w14:textId="6F8E518C" w:rsidR="007D18C3" w:rsidRDefault="007D18C3" w:rsidP="007D18C3">
      <w:r>
        <w:t>Il peut également rafraîchir ce taux en appuyant sur le bouton RATE.</w:t>
      </w:r>
    </w:p>
    <w:p w14:paraId="41DB6238" w14:textId="19D6BFC3"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t>.</w:t>
      </w:r>
    </w:p>
    <w:p w14:paraId="3B6F28B1" w14:textId="502CC07E" w:rsidR="007D18C3" w:rsidRDefault="007D18C3" w:rsidP="007D18C3">
      <w:r>
        <w:t xml:space="preserve">Le </w:t>
      </w:r>
      <w:r w:rsidR="003410C8">
        <w:t>C</w:t>
      </w:r>
      <w:r>
        <w:t xml:space="preserve">ontrôleur (ExchangeVC) va alors demander au </w:t>
      </w:r>
      <w:r w:rsidR="003410C8">
        <w:t>M</w:t>
      </w:r>
      <w:r>
        <w:t>odel (ExchangeService) le nouveau taux de change.</w:t>
      </w:r>
    </w:p>
    <w:p w14:paraId="1044EB96" w14:textId="3F0E8613" w:rsidR="007D18C3" w:rsidRDefault="007D18C3" w:rsidP="007D18C3"/>
    <w:p w14:paraId="2B3A63AA" w14:textId="7FF3BE12" w:rsidR="007D18C3" w:rsidRDefault="00C92D8F" w:rsidP="007D18C3">
      <w:r>
        <w:t xml:space="preserve">Comme pour les autres MVC, </w:t>
      </w:r>
      <w:proofErr w:type="spellStart"/>
      <w:r w:rsidR="007D18C3">
        <w:t>ExchangeService</w:t>
      </w:r>
      <w:proofErr w:type="spellEnd"/>
      <w:r w:rsidR="007D18C3">
        <w:t xml:space="preserv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51B7436A" w14:textId="202A6D00" w:rsidR="007D18C3" w:rsidRDefault="007D18C3" w:rsidP="007D18C3">
      <w:r>
        <w:t xml:space="preserve">Une fois </w:t>
      </w:r>
      <w:r w:rsidR="003410C8">
        <w:t>le résultat obtenu, le Model l’envoi</w:t>
      </w:r>
      <w:r w:rsidR="00F12390">
        <w:t>e</w:t>
      </w:r>
      <w:r w:rsidR="003410C8">
        <w:t xml:space="preserve"> au Contrôleur via un callback.</w:t>
      </w:r>
    </w:p>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65E8FC88" w14:textId="640289B7" w:rsidR="003410C8" w:rsidRDefault="003410C8" w:rsidP="007D18C3">
      <w:r>
        <w:t>L’utilisateur peut bien évidemment demander, via un montant en euros, son équivalent en dollars grâce au bouton CALCULATE.</w:t>
      </w:r>
    </w:p>
    <w:p w14:paraId="506A0FAA" w14:textId="0FE7D2F7" w:rsidR="003410C8" w:rsidRDefault="003410C8" w:rsidP="007D18C3"/>
    <w:p w14:paraId="4B94F7EA" w14:textId="35C5155C" w:rsidR="003410C8" w:rsidRDefault="003410C8" w:rsidP="007D18C3">
      <w:r>
        <w:t>Le contrôleur va alors se servir du taux de change précédemment obtenu et afficher le résultat du calcul à l’utilisateur.</w:t>
      </w:r>
    </w:p>
    <w:p w14:paraId="64D128AF" w14:textId="4712BF9A" w:rsidR="003410C8" w:rsidRDefault="003410C8" w:rsidP="007D18C3"/>
    <w:p w14:paraId="726CFEAF" w14:textId="77777777"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r>
        <w:lastRenderedPageBreak/>
        <w:t>MVC Traduction</w:t>
      </w:r>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5A73657A" w:rsidR="003410C8" w:rsidRDefault="003410C8" w:rsidP="007D18C3">
      <w:r>
        <w:t>Le Contrôleur réceptionne l’Action et l’envoie au Model (TraductionService) qui va réaliser l’appel API.</w:t>
      </w:r>
    </w:p>
    <w:p w14:paraId="75A53B50" w14:textId="7A52E780" w:rsidR="003410C8" w:rsidRDefault="00C92D8F" w:rsidP="007D18C3">
      <w:r>
        <w:t>Il</w:t>
      </w:r>
      <w:r w:rsidR="003410C8">
        <w:t xml:space="preserve"> disposera du fichier APIKeys pour </w:t>
      </w:r>
      <w:r w:rsidR="00EB3B68">
        <w:t>s</w:t>
      </w:r>
      <w:r w:rsidR="003410C8">
        <w:t xml:space="preserve">a clé API </w:t>
      </w:r>
      <w:r>
        <w:t>(</w:t>
      </w:r>
      <w:r w:rsidR="00B755E3">
        <w:t>Google Traduction</w:t>
      </w:r>
      <w:r>
        <w:t xml:space="preserve">) </w:t>
      </w:r>
      <w:r w:rsidR="003410C8">
        <w:t xml:space="preserve">et du fichier </w:t>
      </w:r>
      <w:proofErr w:type="spellStart"/>
      <w:r w:rsidR="003410C8">
        <w:t>TraductionResponse</w:t>
      </w:r>
      <w:proofErr w:type="spellEnd"/>
      <w:r w:rsidR="003410C8">
        <w:t xml:space="preserve"> afin d’assurer la bonne réception du JSON</w:t>
      </w:r>
      <w:r w:rsidR="000F29FE">
        <w:t>.</w:t>
      </w:r>
    </w:p>
    <w:p w14:paraId="5B4E528D" w14:textId="66C1CA88" w:rsidR="003410C8" w:rsidRDefault="003410C8" w:rsidP="007D18C3"/>
    <w:p w14:paraId="33839F0B" w14:textId="2AC86E04" w:rsidR="003410C8" w:rsidRDefault="003410C8" w:rsidP="007D18C3">
      <w:r>
        <w:t xml:space="preserve">La traduction étant obtenue, le Model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2876067" w14:textId="347230CC" w:rsidR="00CA4D45" w:rsidRDefault="00CA4D45" w:rsidP="002F2B9E">
      <w:pPr>
        <w:pStyle w:val="Titre3"/>
      </w:pPr>
      <w:r>
        <w:t>MVC Météo</w:t>
      </w:r>
    </w:p>
    <w:p w14:paraId="3C66BBCF" w14:textId="4C3FD4A2" w:rsidR="00CA4D45" w:rsidRDefault="00CA4D45" w:rsidP="007D18C3"/>
    <w:p w14:paraId="47CD1BEC" w14:textId="0F00ADE9"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37834CCB" w14:textId="3260D5CB" w:rsidR="00CA4D45" w:rsidRDefault="00CA4D45" w:rsidP="007D18C3">
      <w:r>
        <w:t>Le bouton WEATHER lui permet de rafraîchir les données.</w:t>
      </w:r>
    </w:p>
    <w:p w14:paraId="47F6AD8E" w14:textId="5D6CEE23" w:rsidR="00CA4D45" w:rsidRDefault="00CA4D45" w:rsidP="007D18C3"/>
    <w:p w14:paraId="36F88E7B" w14:textId="0EA70269" w:rsidR="00CA4D45" w:rsidRDefault="00CA4D45" w:rsidP="007D18C3">
      <w:r>
        <w:t xml:space="preserve">Comme pour les autres MVC, le principe </w:t>
      </w:r>
      <w:r w:rsidR="00C92D8F">
        <w:t>reste</w:t>
      </w:r>
      <w:r>
        <w:t xml:space="preserve"> le même.</w:t>
      </w:r>
    </w:p>
    <w:p w14:paraId="2C851A42" w14:textId="67220297" w:rsidR="00CA4D45" w:rsidRDefault="00CA4D45" w:rsidP="007D18C3">
      <w:r>
        <w:t>Le bouton WEATHER déclenche l’Action qui demandera au Contrôleur (WeatherVC) la nouvelle météo.</w:t>
      </w:r>
    </w:p>
    <w:p w14:paraId="4B43A41B" w14:textId="47E62279" w:rsidR="00CA4D45" w:rsidRDefault="00CA4D45" w:rsidP="007D18C3">
      <w:r>
        <w:t>Le contrôleur demandera au Model (WeatherService) qui réalisera l’appel API afin d’obtenir la météo la plus récente.</w:t>
      </w:r>
    </w:p>
    <w:p w14:paraId="0D6618AC" w14:textId="55C4BAC2" w:rsidR="00CA4D45" w:rsidRDefault="00CA4D45" w:rsidP="007D18C3">
      <w:r>
        <w:t>Il s’appuiera de ses fichiers APIKeys et Weather</w:t>
      </w:r>
      <w:r w:rsidR="00EE3EEA">
        <w:t>Response</w:t>
      </w:r>
      <w:r>
        <w:t xml:space="preserve"> pour chercher sa clé API</w:t>
      </w:r>
      <w:r w:rsidR="00C92D8F">
        <w:t xml:space="preserve"> (</w:t>
      </w:r>
      <w:proofErr w:type="spellStart"/>
      <w:r w:rsidR="00B755E3">
        <w:t>OpenWeatherMap</w:t>
      </w:r>
      <w:proofErr w:type="spellEnd"/>
      <w:r w:rsidR="00B755E3">
        <w:t>)</w:t>
      </w:r>
      <w:r>
        <w:t xml:space="preserve"> ainsi que le bon format du fichier JSON qu’il s’apprête à recevoir.</w:t>
      </w:r>
    </w:p>
    <w:p w14:paraId="2EC9786B" w14:textId="021D723F" w:rsidR="00CA4D45" w:rsidRDefault="00CA4D45" w:rsidP="007D18C3"/>
    <w:p w14:paraId="3EB49867" w14:textId="11439512" w:rsidR="007076B3" w:rsidRDefault="00CA4D45" w:rsidP="007D18C3">
      <w:r>
        <w:t>Une fois les données reçues, le Model, grâce au callback, envoie la réponse au Contrôleur qui modifie la Vue grâce aux Outlets qui afficheront la météo à l’utilisateur.</w:t>
      </w:r>
    </w:p>
    <w:p w14:paraId="68BA9759" w14:textId="77777777" w:rsidR="007076B3" w:rsidRDefault="007076B3">
      <w:r>
        <w:br w:type="page"/>
      </w:r>
    </w:p>
    <w:p w14:paraId="288F01C4" w14:textId="0D919E21" w:rsidR="00CA4D45" w:rsidRDefault="007076B3" w:rsidP="002F2B9E">
      <w:pPr>
        <w:pStyle w:val="Titre1"/>
      </w:pPr>
      <w:r>
        <w:lastRenderedPageBreak/>
        <w:t>Les tests unitaires</w:t>
      </w:r>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0AB6CB30" w:rsidR="007076B3" w:rsidRDefault="007076B3" w:rsidP="007D18C3">
      <w:r>
        <w:t xml:space="preserve">Cependant, ils restent assimilables à des Model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r>
        <w:t>Arborescence</w:t>
      </w:r>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r>
        <w:t>Schéma</w:t>
      </w:r>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r>
        <w:lastRenderedPageBreak/>
        <w:t>Détails</w:t>
      </w:r>
    </w:p>
    <w:p w14:paraId="2EAF81C8" w14:textId="1E129F9D" w:rsidR="002F2B9E" w:rsidRDefault="002F2B9E" w:rsidP="007D18C3"/>
    <w:p w14:paraId="1FC945B1" w14:textId="5375E691" w:rsidR="005B379B" w:rsidRDefault="005B379B" w:rsidP="007D18C3">
      <w:r>
        <w:t xml:space="preserve">Chaque fonctionnalité a son dossier associé, composé des fichiers TestCases (les tests), FakeResponseDataError (que l’on va utiliser pour nos tests) et les </w:t>
      </w:r>
      <w:proofErr w:type="gramStart"/>
      <w:r>
        <w:t>fichiers .json</w:t>
      </w:r>
      <w:proofErr w:type="gramEnd"/>
      <w:r>
        <w:t xml:space="preserve">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r>
        <w:t>Déroulement des tests unitaires</w:t>
      </w:r>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46B4405B" w:rsidR="005E60D3" w:rsidRDefault="005E60D3" w:rsidP="007D18C3">
      <w:r>
        <w:t xml:space="preserve">Via notre SessionFake, on lance l’appel API des </w:t>
      </w:r>
      <w:r w:rsidR="0080303F">
        <w:t>M</w:t>
      </w:r>
      <w:r>
        <w:t>odel avec les fichiers Service</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FA60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5297" w14:textId="77777777" w:rsidR="00180F33" w:rsidRDefault="00180F33" w:rsidP="007D18C3">
      <w:r>
        <w:separator/>
      </w:r>
    </w:p>
  </w:endnote>
  <w:endnote w:type="continuationSeparator" w:id="0">
    <w:p w14:paraId="64C9DD62" w14:textId="77777777" w:rsidR="00180F33" w:rsidRDefault="00180F33"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A22A" w14:textId="77777777" w:rsidR="00180F33" w:rsidRDefault="00180F33" w:rsidP="007D18C3">
      <w:r>
        <w:separator/>
      </w:r>
    </w:p>
  </w:footnote>
  <w:footnote w:type="continuationSeparator" w:id="0">
    <w:p w14:paraId="372852E8" w14:textId="77777777" w:rsidR="00180F33" w:rsidRDefault="00180F33" w:rsidP="007D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F29FE"/>
    <w:rsid w:val="00180F33"/>
    <w:rsid w:val="002F2B9E"/>
    <w:rsid w:val="003410C8"/>
    <w:rsid w:val="004126A3"/>
    <w:rsid w:val="00447F31"/>
    <w:rsid w:val="005B1733"/>
    <w:rsid w:val="005B379B"/>
    <w:rsid w:val="005E60D3"/>
    <w:rsid w:val="007076B3"/>
    <w:rsid w:val="0076097D"/>
    <w:rsid w:val="007D18C3"/>
    <w:rsid w:val="0080303F"/>
    <w:rsid w:val="00A06323"/>
    <w:rsid w:val="00B755E3"/>
    <w:rsid w:val="00B84EB3"/>
    <w:rsid w:val="00C92D8F"/>
    <w:rsid w:val="00CA4D45"/>
    <w:rsid w:val="00EB3B68"/>
    <w:rsid w:val="00EE3EEA"/>
    <w:rsid w:val="00F12390"/>
    <w:rsid w:val="00FA6069"/>
    <w:rsid w:val="00FB6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793</Words>
  <Characters>4365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6</cp:revision>
  <dcterms:created xsi:type="dcterms:W3CDTF">2023-01-08T20:17:00Z</dcterms:created>
  <dcterms:modified xsi:type="dcterms:W3CDTF">2023-01-09T09:27:00Z</dcterms:modified>
  <cp:category>Étudiant sur le parcours « Développeur d’Applications iOS » - OpenClassrooms</cp:category>
</cp:coreProperties>
</file>