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0E4A50"/>
          <w:sz w:val="44"/>
          <w:szCs w:val="44"/>
        </w:rPr>
        <w:t xml:space="preserve">Windpotentiale auslegen, ermitteln und empfehlen</w:t>
      </w:r>
    </w:p>
    <w:p>
      <w:pPr>
        <w:pBdr>
          <w:bottom w:val="single" w:color="1F6F78" w:sz="12" w:space="4"/>
        </w:pBdr>
        <w:spacing w:after="60"/>
      </w:pPr>
      <w:r>
        <w:rPr>
          <w:color w:val="555555"/>
          <w:sz w:val="24"/>
          <w:szCs w:val="24"/>
        </w:rPr>
        <w:t xml:space="preserve">Interner Wiki-Leitfaden zur Windanalyse des Tools</w:t>
      </w:r>
    </w:p>
    <w:p>
      <w:pPr>
        <w:spacing w:after="200" w:before="0" w:line="276"/>
      </w:pPr>
      <w:r>
        <w:rPr>
          <w:i/>
          <w:iCs/>
          <w:color w:val="555555"/>
        </w:rPr>
        <w:t xml:space="preserve">Stand: 2026-07-07</w:t>
      </w:r>
    </w:p>
    <w:p>
      <w:pPr>
        <w:spacing w:after="120" w:before="0" w:line="276"/>
      </w:pPr>
      <w:r>
        <w:t xml:space="preserve">Dieser Artikel erklärt, </w:t>
      </w:r>
      <w:r>
        <w:rPr>
          <w:b/>
          <w:bCs/>
        </w:rPr>
        <w:t xml:space="preserve">wie man das Windpotential einer Liegenschaft ermittelt, eine Anlage auslegt und eine belastbare Empfehlung ableitet</w:t>
      </w:r>
      <w:r>
        <w:t xml:space="preserve"> — entlang der Rechenwege, die in der Windanalyse des Tools (Panel „Windanalyse") stecken. Er richtet sich an Planer:innen, die verstehen wollen, was das Tool tut, warum, und wo die Grenzen liegen.</w:t>
      </w:r>
    </w:p>
    <w:p>
      <w:pPr>
        <w:pBdr>
          <w:left w:val="single" w:color="E0A800" w:sz="18" w:space="8"/>
        </w:pBdr>
        <w:shd w:fill="FBF3D9" w:val="clear"/>
        <w:spacing w:after="140" w:before="40" w:line="276"/>
        <w:ind w:left="140" w:right="140"/>
      </w:pPr>
      <w:r>
        <w:rPr>
          <w:b/>
          <w:bCs/>
        </w:rPr>
        <w:t xml:space="preserve">Leitprinzip (wie überall im Tool):</w:t>
      </w:r>
      <w:r>
        <w:t xml:space="preserve"> Das Tool schätzt und schlägt vor, der Mensch entscheidet. Jede Zahl hier ist eine </w:t>
      </w:r>
      <w:r>
        <w:rPr>
          <w:b/>
          <w:bCs/>
        </w:rPr>
        <w:t xml:space="preserve">Screening-Größe</w:t>
      </w:r>
      <w:r>
        <w:t xml:space="preserve"> — gut genug, um Standorte zu vergleichen und Größenordnungen zu finden, aber </w:t>
      </w:r>
      <w:r>
        <w:rPr>
          <w:b/>
          <w:bCs/>
        </w:rPr>
        <w:t xml:space="preserve">kein Ersatz für ein Standortwindgutachten</w:t>
      </w:r>
      <w:r>
        <w:t xml:space="preserve"> und keine Genehmigungsgrundlage.</w:t>
      </w:r>
    </w:p>
    <w:p>
      <w:pPr>
        <w:pStyle w:val="Heading2"/>
      </w:pPr>
      <w:r>
        <w:t xml:space="preserve">Inhalt</w:t>
      </w:r>
    </w:p>
    <w:sdt>
      <w:sdtPr>
        <w:alias w:val="Inhalt"/>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Der Weg in drei Schritten</w:t>
      </w:r>
    </w:p>
    <w:p>
      <w:pPr>
        <w:spacing w:after="120" w:before="0" w:line="276"/>
      </w:pPr>
      <w:r>
        <w:t xml:space="preserve">Windpotential wird in drei aufeinander aufbauenden Schritten bearbeitet. Dieselbe Reihenfolge gilt fachlich auch ohne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160"/>
        <w:gridCol w:w="3400"/>
      </w:tblGrid>
      <w:tr>
        <w:trPr>
          <w:tblHeader/>
        </w:trPr>
        <w:tc>
          <w:tcPr>
            <w:tcW w:type="dxa" w:w="18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Schritt</w:t>
            </w:r>
          </w:p>
        </w:tc>
        <w:tc>
          <w:tcPr>
            <w:tcW w:type="dxa" w:w="416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Frage</w:t>
            </w:r>
          </w:p>
        </w:tc>
        <w:tc>
          <w:tcPr>
            <w:tcW w:type="dxa" w:w="34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Tool-Baustein</w:t>
            </w:r>
          </w:p>
        </w:tc>
      </w:tr>
      <w:tr>
        <w:tc>
          <w:tcPr>
            <w:tcW w:type="dxa" w:w="18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1. Ermitteln</w:t>
            </w:r>
          </w:p>
        </w:tc>
        <w:tc>
          <w:tcPr>
            <w:tcW w:type="dxa" w:w="41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Wie viel Wind hat der Standort?</w:t>
            </w:r>
          </w:p>
        </w:tc>
        <w:tc>
          <w:tcPr>
            <w:tcW w:type="dxa" w:w="3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Standort-Winddaten (ERA5)</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2. Auslegen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Was macht eine Anlage daraus?</w:t>
            </w:r>
          </w:p>
        </w:tc>
        <w:tc>
          <w:tcPr>
            <w:tcW w:type="dxa" w:w="3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Ertragsmodell + Szenarien</w:t>
            </w:r>
          </w:p>
        </w:tc>
      </w:tr>
      <w:tr>
        <w:tc>
          <w:tcPr>
            <w:tcW w:type="dxa" w:w="18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3. Empfehlen</w:t>
            </w:r>
          </w:p>
        </w:tc>
        <w:tc>
          <w:tcPr>
            <w:tcW w:type="dxa" w:w="41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Wie viele Anlagen passen, was empfehlen wir?</w:t>
            </w:r>
          </w:p>
        </w:tc>
        <w:tc>
          <w:tcPr>
            <w:tcW w:type="dxa" w:w="3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Eignungsfläche + Platzierung</w:t>
            </w:r>
          </w:p>
        </w:tc>
      </w:tr>
    </w:tbl>
    <w:p>
      <w:pPr>
        <w:spacing w:after="80"/>
      </w:pPr>
      <w:r>
        <w:t xml:space="preserve"/>
      </w:r>
    </w:p>
    <w:p>
      <w:pPr>
        <w:pStyle w:val="Heading1"/>
      </w:pPr>
      <w:r>
        <w:t xml:space="preserve">1. Grundlagen: die vier physikalischen Hebel</w:t>
      </w:r>
    </w:p>
    <w:p>
      <w:pPr>
        <w:spacing w:after="120" w:before="0" w:line="276"/>
      </w:pPr>
      <w:r>
        <w:t xml:space="preserve">Die vier Größen, aus denen sich jeder Windertrag zusammensetzt. Wer diese versteht, kann jede Zahl im Panel einordnen.</w:t>
      </w:r>
    </w:p>
    <w:p>
      <w:pPr>
        <w:pStyle w:val="Heading2"/>
      </w:pPr>
      <w:r>
        <w:t xml:space="preserve">1.1 Der Wind steckt in der dritten Potenz</w:t>
      </w:r>
    </w:p>
    <w:p>
      <w:pPr>
        <w:spacing w:after="120" w:before="0" w:line="276"/>
      </w:pPr>
      <w:r>
        <w:t xml:space="preserve">Die im Wind enthaltene Leistung wächst mit der dritten Potenz der Windgeschwindigkeit:</w:t>
      </w:r>
    </w:p>
    <w:p>
      <w:pPr>
        <w:pBdr>
          <w:left w:val="single" w:color="1F6F78" w:sz="12" w:space="6"/>
        </w:pBdr>
        <w:shd w:fill="F4F4F4" w:val="clear"/>
        <w:spacing w:after="140" w:before="40" w:line="260"/>
        <w:ind w:left="120"/>
      </w:pPr>
      <w:r>
        <w:rPr>
          <w:rFonts w:ascii="Consolas" w:cs="Consolas" w:eastAsia="Consolas" w:hAnsi="Consolas"/>
          <w:sz w:val="18"/>
          <w:szCs w:val="18"/>
        </w:rPr>
        <w:t xml:space="preserve">P_Wind  ∝  ½ · ρ · A · v³</w:t>
      </w:r>
    </w:p>
    <w:p>
      <w:pPr>
        <w:pStyle w:val="ListParagraph"/>
        <w:numPr>
          <w:ilvl w:val="0"/>
          <w:numId w:val="2"/>
        </w:numPr>
        <w:spacing w:after="60" w:line="276"/>
      </w:pPr>
      <w:r>
        <w:t xml:space="preserve">ρ — Luftdichte (~1,225 kg/m³)</w:t>
      </w:r>
    </w:p>
    <w:p>
      <w:pPr>
        <w:pStyle w:val="ListParagraph"/>
        <w:numPr>
          <w:ilvl w:val="0"/>
          <w:numId w:val="2"/>
        </w:numPr>
        <w:spacing w:after="60" w:line="276"/>
      </w:pPr>
      <w:r>
        <w:t xml:space="preserve">A — überstrichene Rotorfläche = π·(D/2)²</w:t>
      </w:r>
    </w:p>
    <w:p>
      <w:pPr>
        <w:pStyle w:val="ListParagraph"/>
        <w:numPr>
          <w:ilvl w:val="0"/>
          <w:numId w:val="2"/>
        </w:numPr>
        <w:spacing w:after="60" w:line="276"/>
      </w:pPr>
      <w:r>
        <w:t xml:space="preserve">v — Windgeschwindigkeit</w:t>
      </w:r>
    </w:p>
    <w:p>
      <w:pPr>
        <w:spacing w:after="120" w:before="0" w:line="276"/>
      </w:pPr>
      <w:r>
        <w:t xml:space="preserve">Daraus die wichtigste Faustregel überhaupt: </w:t>
      </w:r>
      <w:r>
        <w:rPr>
          <w:b/>
          <w:bCs/>
        </w:rPr>
        <w:t xml:space="preserve">10 % mehr Wind ≈ 33 % mehr Energie.</w:t>
      </w:r>
      <w:r>
        <w:t xml:space="preserve"> Deshalb entscheidet der Standortwind (und die Nabenhöhe, die ihn erschließt) über Erfolg oder Misserfolg — stärker als jedes andere Detail. Im Tool bildet </w:t>
      </w:r>
      <w:r>
        <w:rPr>
          <w:rFonts w:ascii="Consolas" w:cs="Consolas" w:eastAsia="Consolas" w:hAnsi="Consolas"/>
          <w:color w:val="0E4A50"/>
          <w:sz w:val="20"/>
          <w:szCs w:val="20"/>
        </w:rPr>
        <w:t xml:space="preserve">turbinePowerKw()</w:t>
      </w:r>
      <w:r>
        <w:t xml:space="preserve"> (in 13q-wind-ertrag.js) genau diesen kubischen Anstieg zwischen Ein- und Nennwind nach.</w:t>
      </w:r>
    </w:p>
    <w:p>
      <w:pPr>
        <w:pStyle w:val="Heading2"/>
      </w:pPr>
      <w:r>
        <w:t xml:space="preserve">1.2 Die Leistungskurve der Anlage (cut-in / Nenn / cut-out)</w:t>
      </w:r>
    </w:p>
    <w:p>
      <w:pPr>
        <w:spacing w:after="120" w:before="0" w:line="276"/>
      </w:pPr>
      <w:r>
        <w:t xml:space="preserve">Eine echte Turbine folgt dem v³-Gesetz nur in einem Fenster. Das Tool beschreibt die Kennlinie mit drei Windgeschwindigkeiten: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1360"/>
        <w:gridCol w:w="3300"/>
      </w:tblGrid>
      <w:tr>
        <w:trPr>
          <w:tblHeader/>
        </w:trPr>
        <w:tc>
          <w:tcPr>
            <w:tcW w:type="dxa" w:w="24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Größe</w:t>
            </w:r>
          </w:p>
        </w:tc>
        <w:tc>
          <w:tcPr>
            <w:tcW w:type="dxa" w:w="23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Feld im Inspector</w:t>
            </w:r>
          </w:p>
        </w:tc>
        <w:tc>
          <w:tcPr>
            <w:tcW w:type="dxa" w:w="136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Default</w:t>
            </w:r>
          </w:p>
        </w:tc>
        <w:tc>
          <w:tcPr>
            <w:tcW w:type="dxa" w:w="33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Bedeutung</w:t>
            </w:r>
          </w:p>
        </w:tc>
      </w:tr>
      <w:tr>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Einschaltwind (cut-in)</w:t>
            </w:r>
          </w:p>
        </w:tc>
        <w:tc>
          <w:tcPr>
            <w:tcW w:type="dxa" w:w="23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Einschaltwind (m/s)</w:t>
            </w:r>
          </w:p>
        </w:tc>
        <w:tc>
          <w:tcPr>
            <w:tcW w:type="dxa" w:w="13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3 m/s</w:t>
            </w:r>
          </w:p>
        </w:tc>
        <w:tc>
          <w:tcPr>
            <w:tcW w:type="dxa" w:w="33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darunter dreht die Anlage nicht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Nennwind (rated)</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Nennwind (m/s)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12 m/s</w:t>
            </w:r>
          </w:p>
        </w:tc>
        <w:tc>
          <w:tcPr>
            <w:tcW w:type="dxa" w:w="3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ab hier volle Nennleistung</w:t>
            </w:r>
          </w:p>
        </w:tc>
      </w:tr>
      <w:tr>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Abschaltwind (cut-out)</w:t>
            </w:r>
          </w:p>
        </w:tc>
        <w:tc>
          <w:tcPr>
            <w:tcW w:type="dxa" w:w="23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Abschaltwind (m/s)</w:t>
            </w:r>
          </w:p>
        </w:tc>
        <w:tc>
          <w:tcPr>
            <w:tcW w:type="dxa" w:w="13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25 m/s</w:t>
            </w:r>
          </w:p>
        </w:tc>
        <w:tc>
          <w:tcPr>
            <w:tcW w:type="dxa" w:w="33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darüber Sturmabschaltung</w:t>
            </w:r>
          </w:p>
        </w:tc>
      </w:tr>
    </w:tbl>
    <w:p>
      <w:pPr>
        <w:spacing w:after="60"/>
      </w:pPr>
      <w:r>
        <w:t xml:space="preserve"/>
      </w:r>
    </w:p>
    <w:p>
      <w:pPr>
        <w:spacing w:after="120" w:before="0" w:line="276"/>
      </w:pPr>
      <w:r>
        <w:t xml:space="preserve">Das Tool-Modell (bewusst vereinfacht, ohne Herstellerkennlinie):</w:t>
      </w:r>
    </w:p>
    <w:p>
      <w:pPr>
        <w:pBdr>
          <w:left w:val="single" w:color="1F6F78" w:sz="12" w:space="6"/>
        </w:pBdr>
        <w:shd w:fill="F4F4F4" w:val="clear"/>
        <w:spacing w:after="0" w:before="40" w:line="260"/>
        <w:ind w:left="120"/>
      </w:pPr>
      <w:r>
        <w:rPr>
          <w:rFonts w:ascii="Consolas" w:cs="Consolas" w:eastAsia="Consolas" w:hAnsi="Consolas"/>
          <w:sz w:val="18"/>
          <w:szCs w:val="18"/>
        </w:rPr>
        <w:t xml:space="preserve">         0                                  für v &lt; cut-in oder v &gt; cut-out</w:t>
      </w:r>
    </w:p>
    <w:p>
      <w:pPr>
        <w:pBdr>
          <w:left w:val="single" w:color="1F6F78" w:sz="12" w:space="6"/>
        </w:pBdr>
        <w:shd w:fill="F4F4F4" w:val="clear"/>
        <w:spacing w:after="0" w:before="0" w:line="260"/>
        <w:ind w:left="120"/>
      </w:pPr>
      <w:r>
        <w:rPr>
          <w:rFonts w:ascii="Consolas" w:cs="Consolas" w:eastAsia="Consolas" w:hAnsi="Consolas"/>
          <w:sz w:val="18"/>
          <w:szCs w:val="18"/>
        </w:rPr>
        <w:t xml:space="preserve">P(v) =   P_nenn·(v³−v_ein³)/(v_nenn³−v_ein³)  zwischen cut-in und Nennwind</w:t>
      </w:r>
    </w:p>
    <w:p>
      <w:pPr>
        <w:pBdr>
          <w:left w:val="single" w:color="1F6F78" w:sz="12" w:space="6"/>
        </w:pBdr>
        <w:shd w:fill="F4F4F4" w:val="clear"/>
        <w:spacing w:after="140" w:before="0" w:line="260"/>
        <w:ind w:left="120"/>
      </w:pPr>
      <w:r>
        <w:rPr>
          <w:rFonts w:ascii="Consolas" w:cs="Consolas" w:eastAsia="Consolas" w:hAnsi="Consolas"/>
          <w:sz w:val="18"/>
          <w:szCs w:val="18"/>
        </w:rPr>
        <w:t xml:space="preserve">         P_nenn                             zwischen Nennwind und cut-out</w:t>
      </w:r>
    </w:p>
    <w:p>
      <w:pPr>
        <w:pBdr>
          <w:left w:val="single" w:color="E0A800" w:sz="18" w:space="8"/>
        </w:pBdr>
        <w:shd w:fill="FBF3D9" w:val="clear"/>
        <w:spacing w:after="140" w:before="40" w:line="276"/>
        <w:ind w:left="140" w:right="140"/>
      </w:pPr>
      <w:r>
        <w:t xml:space="preserve">Für Genehmigungsunterlagen ist die </w:t>
      </w:r>
      <w:r>
        <w:rPr>
          <w:b/>
          <w:bCs/>
        </w:rPr>
        <w:t xml:space="preserve">reale Leistungskurve des Herstellers</w:t>
      </w:r>
      <w:r>
        <w:t xml:space="preserve"> einzusetzen — das generische Modell dient dem Vergleich, nicht dem Nachweis.</w:t>
      </w:r>
    </w:p>
    <w:p>
      <w:pPr>
        <w:pStyle w:val="Heading2"/>
      </w:pPr>
      <w:r>
        <w:t xml:space="preserve">1.3 Die Weibull-Verteilung: aus Mittelwind wird ein Ertrag</w:t>
      </w:r>
    </w:p>
    <w:p>
      <w:pPr>
        <w:spacing w:after="120" w:before="0" w:line="276"/>
      </w:pPr>
      <w:r>
        <w:t xml:space="preserve">Ein Standort hat nicht eine Windgeschwindigkeit, sondern eine Häufigkeitsverteilung: viele schwache Stunden, wenige starke. Diese wird mit der Weibull-Verteilung beschrieben, charakterisiert durch zwei Parameter:</w:t>
      </w:r>
    </w:p>
    <w:p>
      <w:pPr>
        <w:pStyle w:val="ListParagraph"/>
        <w:numPr>
          <w:ilvl w:val="0"/>
          <w:numId w:val="2"/>
        </w:numPr>
        <w:spacing w:after="60" w:line="276"/>
      </w:pPr>
      <w:r>
        <w:rPr>
          <w:b/>
          <w:bCs/>
        </w:rPr>
        <w:t xml:space="preserve">Mittelwind v̄</w:t>
      </w:r>
      <w:r>
        <w:t xml:space="preserve"> — der Jahresmittelwert (auf Nabenhöhe).</w:t>
      </w:r>
    </w:p>
    <w:p>
      <w:pPr>
        <w:pStyle w:val="ListParagraph"/>
        <w:numPr>
          <w:ilvl w:val="0"/>
          <w:numId w:val="2"/>
        </w:numPr>
        <w:spacing w:after="60" w:line="276"/>
      </w:pPr>
      <w:r>
        <w:rPr>
          <w:b/>
          <w:bCs/>
        </w:rPr>
        <w:t xml:space="preserve">Formfaktor k</w:t>
      </w:r>
      <w:r>
        <w:t xml:space="preserve"> — wie „konzentriert" die Verteilung ist. k = 2 (= Rayleigh) ist der übliche Binnenland-Default; höhere Werte = gleichmäßigerer Wind.</w:t>
      </w:r>
    </w:p>
    <w:p>
      <w:pPr>
        <w:spacing w:after="120" w:before="0" w:line="276"/>
      </w:pPr>
      <w:r>
        <w:t xml:space="preserve">Aus Mittelwind und Formfaktor ergibt sich der Skalenparameter A:</w:t>
      </w:r>
    </w:p>
    <w:p>
      <w:pPr>
        <w:pBdr>
          <w:left w:val="single" w:color="1F6F78" w:sz="12" w:space="6"/>
        </w:pBdr>
        <w:shd w:fill="F4F4F4" w:val="clear"/>
        <w:spacing w:after="140" w:before="40" w:line="260"/>
        <w:ind w:left="120"/>
      </w:pPr>
      <w:r>
        <w:rPr>
          <w:rFonts w:ascii="Consolas" w:cs="Consolas" w:eastAsia="Consolas" w:hAnsi="Consolas"/>
          <w:sz w:val="18"/>
          <w:szCs w:val="18"/>
        </w:rPr>
        <w:t xml:space="preserve">A  =  v̄ / Γ(1 + 1/k)</w:t>
      </w:r>
    </w:p>
    <w:p>
      <w:pPr>
        <w:spacing w:after="120" w:before="0" w:line="276"/>
      </w:pPr>
      <w:r>
        <w:t xml:space="preserve">(Γ = Gammafunktion, im Tool über die Lanczos-Näherung.) Der Jahresertrag ist dann das Integral aus Windhäufigkeit × Leistungskurve über alle Windgeschwindigkeiten — das Tool rechnet es numerisch in 0,1-m/s-Schritten (</w:t>
      </w:r>
      <w:r>
        <w:rPr>
          <w:rFonts w:ascii="Consolas" w:cs="Consolas" w:eastAsia="Consolas" w:hAnsi="Consolas"/>
          <w:color w:val="0E4A50"/>
          <w:sz w:val="20"/>
          <w:szCs w:val="20"/>
        </w:rPr>
        <w:t xml:space="preserve">computeWindYield()</w:t>
      </w:r>
      <w:r>
        <w:t xml:space="preserve">).</w:t>
      </w:r>
    </w:p>
    <w:p>
      <w:pPr>
        <w:pBdr>
          <w:left w:val="single" w:color="E0A800" w:sz="18" w:space="8"/>
        </w:pBdr>
        <w:shd w:fill="FBF3D9" w:val="clear"/>
        <w:spacing w:after="140" w:before="40" w:line="276"/>
        <w:ind w:left="140" w:right="140"/>
      </w:pPr>
      <w:r>
        <w:rPr>
          <w:b/>
          <w:bCs/>
        </w:rPr>
        <w:t xml:space="preserve">Warum das zählt:</w:t>
      </w:r>
      <w:r>
        <w:t xml:space="preserve"> Zwei Standorte mit gleichem Mittelwind können unterschiedlich viel liefern, wenn ihre Verteilung (k) verschieden ist. Deshalb ermittelt das Tool k aus echten Daten (s. Kap. 2), statt pauschal 2 anzunehmen.</w:t>
      </w:r>
    </w:p>
    <w:p>
      <w:pPr>
        <w:pStyle w:val="Heading2"/>
      </w:pPr>
      <w:r>
        <w:t xml:space="preserve">1.4 Die Nabenhöhe erschließt den Wind (Hellmann-Gesetz)</w:t>
      </w:r>
    </w:p>
    <w:p>
      <w:pPr>
        <w:spacing w:after="120" w:before="0" w:line="276"/>
      </w:pPr>
      <w:r>
        <w:t xml:space="preserve">Wind wird mit der Höhe stärker (weniger Bodenreibung). Das Hellmann-Potenzgesetz rechnet den Mittelwind von einer Referenzhöhe auf jede Nabenhöhe um:</w:t>
      </w:r>
    </w:p>
    <w:p>
      <w:pPr>
        <w:pBdr>
          <w:left w:val="single" w:color="1F6F78" w:sz="12" w:space="6"/>
        </w:pBdr>
        <w:shd w:fill="F4F4F4" w:val="clear"/>
        <w:spacing w:after="140" w:before="40" w:line="260"/>
        <w:ind w:left="120"/>
      </w:pPr>
      <w:r>
        <w:rPr>
          <w:rFonts w:ascii="Consolas" w:cs="Consolas" w:eastAsia="Consolas" w:hAnsi="Consolas"/>
          <w:sz w:val="18"/>
          <w:szCs w:val="18"/>
        </w:rPr>
        <w:t xml:space="preserve">v(h)  =  v_ref · (h / h_ref)^α</w:t>
      </w:r>
    </w:p>
    <w:p>
      <w:pPr>
        <w:spacing w:after="120" w:before="0" w:line="276"/>
      </w:pPr>
      <w:r>
        <w:t xml:space="preserve">Der Hellmann-Exponent α beschreibt die Rauigkeit des Geländes: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α</w:t>
            </w:r>
          </w:p>
        </w:tc>
        <w:tc>
          <w:tcPr>
            <w:tcW w:type="dxa" w:w="776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Gelände</w:t>
            </w:r>
          </w:p>
        </w:tc>
      </w:tr>
      <w:tr>
        <w:tc>
          <w:tcPr>
            <w:tcW w:type="dxa" w:w="16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~0,10</w:t>
            </w:r>
          </w:p>
        </w:tc>
        <w:tc>
          <w:tcPr>
            <w:tcW w:type="dxa" w:w="77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offene See, glatte Flächen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~0,20</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offenes Binnenland (Tool-Default)</w:t>
            </w:r>
          </w:p>
        </w:tc>
      </w:tr>
      <w:tr>
        <w:tc>
          <w:tcPr>
            <w:tcW w:type="dxa" w:w="16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~0,30</w:t>
            </w:r>
          </w:p>
        </w:tc>
        <w:tc>
          <w:tcPr>
            <w:tcW w:type="dxa" w:w="77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Dörfer, Hecken, Waldnähe</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~0,40+</w:t>
            </w:r>
          </w:p>
        </w:tc>
        <w:tc>
          <w:tcPr>
            <w:tcW w:type="dxa" w:w="7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Wald, Stadt</w:t>
            </w:r>
          </w:p>
        </w:tc>
      </w:tr>
    </w:tbl>
    <w:p>
      <w:pPr>
        <w:spacing w:after="60"/>
      </w:pPr>
      <w:r>
        <w:t xml:space="preserve"/>
      </w:r>
    </w:p>
    <w:p>
      <w:pPr>
        <w:spacing w:after="120" w:before="0" w:line="276"/>
      </w:pPr>
      <w:r>
        <w:t xml:space="preserve">Da der Ertrag kubisch am Wind hängt, ist Höhe bares Geld: Von 100 m auf 150 m bringt bei α = 0,2 rund (150/100)^0,2 ≈ 8 % mehr Wind — und damit grob 25 % mehr Energie. Das Tool nutzt α, um den Standortwind auf die jeweilige Nabenhöhe umzurechnen und die Szenarien mit abweichender Höhe fair zu vergleichen.</w:t>
      </w:r>
    </w:p>
    <w:p>
      <w:r>
        <w:br w:type="page"/>
      </w:r>
    </w:p>
    <w:p>
      <w:pPr>
        <w:pStyle w:val="Heading1"/>
      </w:pPr>
      <w:r>
        <w:t xml:space="preserve">2. Ermitteln — wie viel Wind hat der Standort?</w:t>
      </w:r>
    </w:p>
    <w:p>
      <w:pPr>
        <w:spacing w:after="120" w:before="0" w:line="276"/>
      </w:pPr>
      <w:r>
        <w:rPr>
          <w:b/>
          <w:bCs/>
        </w:rPr>
        <w:t xml:space="preserve">Ziel:</w:t>
      </w:r>
      <w:r>
        <w:t xml:space="preserve"> die drei Kennwerte v̄₁₀₀, k und α für die Liegenschaft bestimmen. Alles Weitere leitet sich daraus ab.</w:t>
      </w:r>
    </w:p>
    <w:p>
      <w:pPr>
        <w:pStyle w:val="Heading2"/>
      </w:pPr>
      <w:r>
        <w:t xml:space="preserve">2.1 Datenquelle: ERA5-Reanalyse über Open-Meteo</w:t>
      </w:r>
    </w:p>
    <w:p>
      <w:pPr>
        <w:spacing w:after="120" w:before="0" w:line="276"/>
      </w:pPr>
      <w:r>
        <w:t xml:space="preserve">Das Tool lädt auf Knopfdruck („Winddaten laden") eine stündliche Windzeitreihe vom Open-Meteo-Archiv (ERA5-Reanalyse, CC-BY 4.0). Abgerufen werden wind_speed_10m und wind_speed_100m über 1–5 volle Kalenderjahre (Default 3). Koordinatenquelle in dieser Priorität:</w:t>
      </w:r>
    </w:p>
    <w:p>
      <w:pPr>
        <w:pStyle w:val="ListParagraph"/>
        <w:numPr>
          <w:ilvl w:val="0"/>
          <w:numId w:val="3"/>
        </w:numPr>
        <w:spacing w:after="80" w:line="276"/>
      </w:pPr>
      <w:r>
        <w:t xml:space="preserve">Windgebiet-Mitte (falls ein eigenes Windgebiet gezeichnet wurde),</w:t>
      </w:r>
    </w:p>
    <w:p>
      <w:pPr>
        <w:pStyle w:val="ListParagraph"/>
        <w:numPr>
          <w:ilvl w:val="0"/>
          <w:numId w:val="3"/>
        </w:numPr>
        <w:spacing w:after="80" w:line="276"/>
      </w:pPr>
      <w:r>
        <w:t xml:space="preserve">sonst Plangebiet-Mitte,</w:t>
      </w:r>
    </w:p>
    <w:p>
      <w:pPr>
        <w:pStyle w:val="ListParagraph"/>
        <w:numPr>
          <w:ilvl w:val="0"/>
          <w:numId w:val="3"/>
        </w:numPr>
        <w:spacing w:after="80" w:line="276"/>
      </w:pPr>
      <w:r>
        <w:t xml:space="preserve">sonst Kartenmitte.</w:t>
      </w:r>
    </w:p>
    <w:p>
      <w:pPr>
        <w:pBdr>
          <w:left w:val="single" w:color="E0A800" w:sz="18" w:space="8"/>
        </w:pBdr>
        <w:shd w:fill="FBF3D9" w:val="clear"/>
        <w:spacing w:after="140" w:before="40" w:line="276"/>
        <w:ind w:left="140" w:right="140"/>
      </w:pPr>
      <w:r>
        <w:rPr>
          <w:b/>
          <w:bCs/>
        </w:rPr>
        <w:t xml:space="preserve">Wichtige Einordnung:</w:t>
      </w:r>
      <w:r>
        <w:t xml:space="preserve"> ERA5 ist ein ~25-km-Raster-Modell. Es bildet die großräumige Windhöffigkeit gut ab (ideal fürs Screening), kennt aber keine lokalen Effekte — Waldkanten, Kuppen, Geländeabschattung fehlen. Es ersetzt kein Standortwindgutachten (MetMast / LiDAR-Messung).</w:t>
      </w:r>
    </w:p>
    <w:p>
      <w:pPr>
        <w:pStyle w:val="Heading2"/>
      </w:pPr>
      <w:r>
        <w:t xml:space="preserve">2.2 Was das Tool aus den Daten berechnet</w:t>
      </w:r>
    </w:p>
    <w:p>
      <w:pPr>
        <w:spacing w:after="120" w:before="0" w:line="276"/>
      </w:pPr>
      <w:r>
        <w:t xml:space="preserve">Aus der Zeitreihe (</w:t>
      </w:r>
      <w:r>
        <w:rPr>
          <w:rFonts w:ascii="Consolas" w:cs="Consolas" w:eastAsia="Consolas" w:hAnsi="Consolas"/>
          <w:color w:val="0E4A50"/>
          <w:sz w:val="20"/>
          <w:szCs w:val="20"/>
        </w:rPr>
        <w:t xml:space="preserve">fetchWindSiteData()</w:t>
      </w:r>
      <w:r>
        <w:t xml:space="preserve">) werden vier Dinge ermittelt: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60"/>
        <w:gridCol w:w="2300"/>
      </w:tblGrid>
      <w:tr>
        <w:trPr>
          <w:tblHeader/>
        </w:trPr>
        <w:tc>
          <w:tcPr>
            <w:tcW w:type="dxa" w:w="25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Kennwert</w:t>
            </w:r>
          </w:p>
        </w:tc>
        <w:tc>
          <w:tcPr>
            <w:tcW w:type="dxa" w:w="456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Herleitung im Tool</w:t>
            </w:r>
          </w:p>
        </w:tc>
        <w:tc>
          <w:tcPr>
            <w:tcW w:type="dxa" w:w="23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Anzeige im Panel</w:t>
            </w:r>
          </w:p>
        </w:tc>
      </w:tr>
      <w:tr>
        <w:tc>
          <w:tcPr>
            <w:tcW w:type="dxa" w:w="25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Mittelwind 100 m (v̄₁₀₀)</w:t>
            </w:r>
          </w:p>
        </w:tc>
        <w:tc>
          <w:tcPr>
            <w:tcW w:type="dxa" w:w="45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arithm. Mittel aller wind_speed_100m-Stunden</w:t>
            </w:r>
          </w:p>
        </w:tc>
        <w:tc>
          <w:tcPr>
            <w:tcW w:type="dxa" w:w="23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Ø … m/s (100 m)</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Weibull-k</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Momentenmethode: k = (σ/v̄)^−1,086, begrenzt 1,2 … 4,0</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Weibull-k …</w:t>
            </w:r>
          </w:p>
        </w:tc>
      </w:tr>
      <w:tr>
        <w:tc>
          <w:tcPr>
            <w:tcW w:type="dxa" w:w="25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Hellmann-α</w:t>
            </w:r>
          </w:p>
        </w:tc>
        <w:tc>
          <w:tcPr>
            <w:tcW w:type="dxa" w:w="45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α = ln(v̄₁₀₀/v̄₁₀)/ln(10), begrenzt 0,10 … 0,45</w:t>
            </w:r>
          </w:p>
        </w:tc>
        <w:tc>
          <w:tcPr>
            <w:tcW w:type="dxa" w:w="23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Hellmann-α …</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8760-h-Stundenreihe</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reales letztes Kalenderjahr, auf 100 m</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intern, für Profile</w:t>
            </w:r>
          </w:p>
        </w:tc>
      </w:tr>
    </w:tbl>
    <w:p>
      <w:pPr>
        <w:spacing w:after="60"/>
      </w:pPr>
      <w:r>
        <w:t xml:space="preserve"/>
      </w:r>
    </w:p>
    <w:p>
      <w:pPr>
        <w:spacing w:after="120" w:before="0" w:line="276"/>
      </w:pPr>
      <w:r>
        <w:t xml:space="preserve">Der Formfaktor kommt also aus der Streuung der echten Stunden (σ/v̄ = Variationskoeffizient), der Höhenexponent aus dem Verhältnis 10 m ↔ 100 m — beides standortspezifisch statt pauschal.</w:t>
      </w:r>
    </w:p>
    <w:p>
      <w:pPr>
        <w:pStyle w:val="Heading2"/>
      </w:pPr>
      <w:r>
        <w:t xml:space="preserve">2.3 Zwei Betriebsarten der Zeitprofile</w:t>
      </w:r>
    </w:p>
    <w:p>
      <w:pPr>
        <w:spacing w:after="120" w:before="0" w:line="276"/>
      </w:pPr>
      <w:r>
        <w:t xml:space="preserve">Sobald Standortdaten geladen sind, ist das ein Schalter für das ganze Tool:</w:t>
      </w:r>
    </w:p>
    <w:p>
      <w:pPr>
        <w:pStyle w:val="ListParagraph"/>
        <w:numPr>
          <w:ilvl w:val="0"/>
          <w:numId w:val="2"/>
        </w:numPr>
        <w:spacing w:after="60" w:line="276"/>
      </w:pPr>
      <w:r>
        <w:rPr>
          <w:b/>
          <w:bCs/>
        </w:rPr>
        <w:t xml:space="preserve">Mit Standortdaten:</w:t>
      </w:r>
      <w:r>
        <w:t xml:space="preserve"> Alle Zeitprofile (Asset-Inspector-Chart, NAP-, PV-, Knotenpunkt-Analyse) rechnen mit der realen ERA5-Stundenreihe, auf die jeweilige Nabenhöhe extrapoliert und durch die Leistungskurve geschickt (windProfileForAsset()).</w:t>
      </w:r>
    </w:p>
    <w:p>
      <w:pPr>
        <w:pStyle w:val="ListParagraph"/>
        <w:numPr>
          <w:ilvl w:val="0"/>
          <w:numId w:val="2"/>
        </w:numPr>
        <w:spacing w:after="60" w:line="276"/>
      </w:pPr>
      <w:r>
        <w:rPr>
          <w:b/>
          <w:bCs/>
        </w:rPr>
        <w:t xml:space="preserve">Ohne Standortdaten:</w:t>
      </w:r>
      <w:r>
        <w:t xml:space="preserve"> Es wird ein synthetisches Weibull-Profil erzeugt — ein autokorrelierter Zufallsprozess (AR(1), bildet mehrstündige Flauten/Windphasen nach) mit deutscher Winter/Sommer-Saisonalität, normiert auf den analytischen Jahresertrag.</w:t>
      </w:r>
    </w:p>
    <w:p>
      <w:pPr>
        <w:pBdr>
          <w:left w:val="single" w:color="E0A800" w:sz="18" w:space="8"/>
        </w:pBdr>
        <w:shd w:fill="FBF3D9" w:val="clear"/>
        <w:spacing w:after="140" w:before="40" w:line="276"/>
        <w:ind w:left="140" w:right="140"/>
      </w:pPr>
      <w:r>
        <w:rPr>
          <w:b/>
          <w:bCs/>
        </w:rPr>
        <w:t xml:space="preserve">Empfehlung:</w:t>
      </w:r>
      <w:r>
        <w:t xml:space="preserve"> Für jede ernsthafte Auslegung zuerst Winddaten laden. Ohne sie sind Mittelwind und k reine Annahmen (Default 6,0 m/s / k 2).</w:t>
      </w:r>
    </w:p>
    <w:p>
      <w:pPr>
        <w:pStyle w:val="Heading2"/>
      </w:pPr>
      <w:r>
        <w:t xml:space="preserve">2.4 „Kennwerte übernehmen"</w:t>
      </w:r>
    </w:p>
    <w:p>
      <w:pPr>
        <w:spacing w:after="120" w:before="0" w:line="276"/>
      </w:pPr>
      <w:r>
        <w:t xml:space="preserve">Der Button „Kennwerte auf alle Windkraftanlagen übernehmen" schreibt v̄ (auf die jeweilige Nabenhöhe per Hellmann umgerechnet) und k in jede Anlage. So rechnen alle Anlagen konsistent mit demselben, gemessenen Standortwind.</w:t>
      </w:r>
    </w:p>
    <w:p>
      <w:r>
        <w:br w:type="page"/>
      </w:r>
    </w:p>
    <w:p>
      <w:pPr>
        <w:pStyle w:val="Heading1"/>
      </w:pPr>
      <w:r>
        <w:t xml:space="preserve">3. Auslegen — was macht eine Anlage aus dem Wind?</w:t>
      </w:r>
    </w:p>
    <w:p>
      <w:pPr>
        <w:spacing w:after="120" w:before="0" w:line="276"/>
      </w:pPr>
      <w:r>
        <w:rPr>
          <w:b/>
          <w:bCs/>
        </w:rPr>
        <w:t xml:space="preserve">Ziel:</w:t>
      </w:r>
      <w:r>
        <w:t xml:space="preserve"> aus Standortwind + Anlagenkennwerten die drei Ertragskennzahlen berechnen und verschiedene Anlagengrößen fair vergleichen.</w:t>
      </w:r>
    </w:p>
    <w:p>
      <w:pPr>
        <w:pStyle w:val="Heading2"/>
      </w:pPr>
      <w:r>
        <w:t xml:space="preserve">3.1 Die drei Ertragskennzahlen</w:t>
      </w:r>
    </w:p>
    <w:p>
      <w:pPr>
        <w:spacing w:after="120" w:before="0" w:line="276"/>
      </w:pPr>
      <w:r>
        <w:rPr>
          <w:rFonts w:ascii="Consolas" w:cs="Consolas" w:eastAsia="Consolas" w:hAnsi="Consolas"/>
          <w:color w:val="0E4A50"/>
          <w:sz w:val="20"/>
          <w:szCs w:val="20"/>
        </w:rPr>
        <w:t xml:space="preserve">computeWindYield()</w:t>
      </w:r>
      <w:r>
        <w:t xml:space="preserve"> liefert je Anlage: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60"/>
        <w:gridCol w:w="3800"/>
      </w:tblGrid>
      <w:tr>
        <w:trPr>
          <w:tblHeader/>
        </w:trPr>
        <w:tc>
          <w:tcPr>
            <w:tcW w:type="dxa" w:w="23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Kennzahl</w:t>
            </w:r>
          </w:p>
        </w:tc>
        <w:tc>
          <w:tcPr>
            <w:tcW w:type="dxa" w:w="326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Formel</w:t>
            </w:r>
          </w:p>
        </w:tc>
        <w:tc>
          <w:tcPr>
            <w:tcW w:type="dxa" w:w="38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Aussage</w:t>
            </w:r>
          </w:p>
        </w:tc>
      </w:tr>
      <w:tr>
        <w:tc>
          <w:tcPr>
            <w:tcW w:type="dxa" w:w="23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Jahresertrag (MWh/a)</w:t>
            </w:r>
          </w:p>
        </w:tc>
        <w:tc>
          <w:tcPr>
            <w:tcW w:type="dxa" w:w="3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 Weibull(v)·P(v) dv · 8760 h</w:t>
            </w:r>
          </w:p>
        </w:tc>
        <w:tc>
          <w:tcPr>
            <w:tcW w:type="dxa" w:w="38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die eigentliche Energieausbeute</w:t>
            </w:r>
          </w:p>
        </w:tc>
      </w:tr>
      <w:tr>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Volllaststunden (Vlh)</w:t>
            </w:r>
          </w:p>
        </w:tc>
        <w:tc>
          <w:tcPr>
            <w:tcW w:type="dxa" w:w="3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Jahresertrag / Nennleistung</w:t>
            </w:r>
          </w:p>
        </w:tc>
        <w:tc>
          <w:tcPr>
            <w:tcW w:type="dxa" w:w="3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Standortgüte in Stunden (Binnenland grob 1.500–2.500)</w:t>
            </w:r>
          </w:p>
        </w:tc>
      </w:tr>
      <w:tr>
        <w:tc>
          <w:tcPr>
            <w:tcW w:type="dxa" w:w="23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Kapazitätsfaktor (KF %)</w:t>
            </w:r>
          </w:p>
        </w:tc>
        <w:tc>
          <w:tcPr>
            <w:tcW w:type="dxa" w:w="3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Vlh / 8760 h</w:t>
            </w:r>
          </w:p>
        </w:tc>
        <w:tc>
          <w:tcPr>
            <w:tcW w:type="dxa" w:w="38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derselbe Wert als Anteil (grob 17–29 %)</w:t>
            </w:r>
          </w:p>
        </w:tc>
      </w:tr>
    </w:tbl>
    <w:p>
      <w:pPr>
        <w:spacing w:after="60"/>
      </w:pPr>
      <w:r>
        <w:t xml:space="preserve"/>
      </w:r>
    </w:p>
    <w:p>
      <w:pPr>
        <w:spacing w:after="120" w:before="0" w:line="276"/>
      </w:pPr>
      <w:r>
        <w:t xml:space="preserve">Zusätzlich die spezifische Flächenleistung P_nenn / Rotorfläche in W/m². Niedrige W/m² (großer Rotor je kW) = viele Volllaststunden, gut für Schwachwind-Binnenland; hohe W/m² = ertragsstark nur bei viel Wind.</w:t>
      </w:r>
    </w:p>
    <w:p>
      <w:pPr>
        <w:pStyle w:val="Heading2"/>
      </w:pPr>
      <w:r>
        <w:t xml:space="preserve">3.2 Die Kennwerte je Anlage (Inspector)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60"/>
        <w:gridCol w:w="4600"/>
      </w:tblGrid>
      <w:tr>
        <w:trPr>
          <w:tblHeader/>
        </w:trPr>
        <w:tc>
          <w:tcPr>
            <w:tcW w:type="dxa" w:w="32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Feld</w:t>
            </w:r>
          </w:p>
        </w:tc>
        <w:tc>
          <w:tcPr>
            <w:tcW w:type="dxa" w:w="156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Default</w:t>
            </w:r>
          </w:p>
        </w:tc>
        <w:tc>
          <w:tcPr>
            <w:tcW w:type="dxa" w:w="46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Rolle</w:t>
            </w:r>
          </w:p>
        </w:tc>
      </w:tr>
      <w:tr>
        <w:tc>
          <w:tcPr>
            <w:tcW w:type="dxa" w:w="32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Nennleistung (kW)</w:t>
            </w:r>
          </w:p>
        </w:tc>
        <w:tc>
          <w:tcPr>
            <w:tcW w:type="dxa" w:w="15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500</w:t>
            </w:r>
          </w:p>
        </w:tc>
        <w:tc>
          <w:tcPr>
            <w:tcW w:type="dxa" w:w="46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skaliert den Ertrag linear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Nabenhöhe (m)</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100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erschließt den Wind (Hellmann)</w:t>
            </w:r>
          </w:p>
        </w:tc>
      </w:tr>
      <w:tr>
        <w:tc>
          <w:tcPr>
            <w:tcW w:type="dxa" w:w="32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Rotordurchmesser (m)</w:t>
            </w:r>
          </w:p>
        </w:tc>
        <w:tc>
          <w:tcPr>
            <w:tcW w:type="dxa" w:w="15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60</w:t>
            </w:r>
          </w:p>
        </w:tc>
        <w:tc>
          <w:tcPr>
            <w:tcW w:type="dxa" w:w="46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Rotorfläche → spez. Flächenleistung, Gesamthöhe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Einschalt-/Nenn-/Abschaltwind</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3 / 12 / 25</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Leistungskurve (Kap. 1.2)</w:t>
            </w:r>
          </w:p>
        </w:tc>
      </w:tr>
      <w:tr>
        <w:tc>
          <w:tcPr>
            <w:tcW w:type="dxa" w:w="32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Ø Windgeschw. Nabenhöhe</w:t>
            </w:r>
          </w:p>
        </w:tc>
        <w:tc>
          <w:tcPr>
            <w:tcW w:type="dxa" w:w="15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6,0</w:t>
            </w:r>
          </w:p>
        </w:tc>
        <w:tc>
          <w:tcPr>
            <w:tcW w:type="dxa" w:w="46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Standortwind (aus ERA5 übernehmbar)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Weibull-k</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2,0</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Verteilungsform (aus ERA5 übernehmbar)</w:t>
            </w:r>
          </w:p>
        </w:tc>
      </w:tr>
      <w:tr>
        <w:tc>
          <w:tcPr>
            <w:tcW w:type="dxa" w:w="32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Planungsabstand ×Ø Rotor</w:t>
            </w:r>
          </w:p>
        </w:tc>
        <w:tc>
          <w:tcPr>
            <w:tcW w:type="dxa" w:w="15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5</w:t>
            </w:r>
          </w:p>
        </w:tc>
        <w:tc>
          <w:tcPr>
            <w:tcW w:type="dxa" w:w="46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Abstandsradius (Kap. 4)</w:t>
            </w:r>
          </w:p>
        </w:tc>
      </w:tr>
    </w:tbl>
    <w:p>
      <w:pPr>
        <w:spacing w:after="60"/>
      </w:pPr>
      <w:r>
        <w:t xml:space="preserve"/>
      </w:r>
    </w:p>
    <w:p>
      <w:pPr>
        <w:spacing w:after="120" w:before="0" w:line="276"/>
      </w:pPr>
      <w:r>
        <w:rPr>
          <w:b/>
          <w:bCs/>
        </w:rPr>
        <w:t xml:space="preserve">Gesamthöhe = Nabenhöhe + Rotordurchmesser/2</w:t>
      </w:r>
      <w:r>
        <w:t xml:space="preserve"> — die zentrale Genehmigungsgröße. Das Tool färbt sie grün bei ≤ 50 m, sonst gelb.</w:t>
      </w:r>
    </w:p>
    <w:p>
      <w:pPr>
        <w:pStyle w:val="Heading2"/>
      </w:pPr>
      <w:r>
        <w:t xml:space="preserve">3.3 Der Szenarien-Vergleich (drei Auslegungsvarianten)</w:t>
      </w:r>
    </w:p>
    <w:p>
      <w:pPr>
        <w:spacing w:after="120" w:before="0" w:line="276"/>
      </w:pPr>
      <w:r>
        <w:t xml:space="preserve">Für jede Anlage rechnet </w:t>
      </w:r>
      <w:r>
        <w:rPr>
          <w:rFonts w:ascii="Consolas" w:cs="Consolas" w:eastAsia="Consolas" w:hAnsi="Consolas"/>
          <w:color w:val="0E4A50"/>
          <w:sz w:val="20"/>
          <w:szCs w:val="20"/>
        </w:rPr>
        <w:t xml:space="preserve">computeWindScenarios()</w:t>
      </w:r>
      <w:r>
        <w:t xml:space="preserve"> automatisch drei Varianten. Alle behalten Kennlinie und spezifische Flächenleistung der konfigurierten Anlage bei — nur Größe/Höhe variieren:</w:t>
      </w:r>
    </w:p>
    <w:p>
      <w:pPr>
        <w:pStyle w:val="ListParagraph"/>
        <w:numPr>
          <w:ilvl w:val="0"/>
          <w:numId w:val="3"/>
        </w:numPr>
        <w:spacing w:after="80" w:line="276"/>
      </w:pPr>
      <w:r>
        <w:rPr>
          <w:b/>
          <w:bCs/>
        </w:rPr>
        <w:t xml:space="preserve">≤ 50 m Gesamthöhe</w:t>
      </w:r>
      <w:r>
        <w:t xml:space="preserve"> — Nabenhöhe wird gekappt, dass die Gesamthöhe unter 50 m bleibt (50 − Rotor/2). Anlagen bis 50 m unterliegen in mehreren Bundesländern erleichterten Genehmigungswegen. Zeigt, was „genehmigungsarm" möglich ist. (Grün markiert.)</w:t>
      </w:r>
    </w:p>
    <w:p>
      <w:pPr>
        <w:pStyle w:val="ListParagraph"/>
        <w:numPr>
          <w:ilvl w:val="0"/>
          <w:numId w:val="3"/>
        </w:numPr>
        <w:spacing w:after="80" w:line="276"/>
      </w:pPr>
      <w:r>
        <w:rPr>
          <w:b/>
          <w:bCs/>
        </w:rPr>
        <w:t xml:space="preserve">Bedarfsgerecht (Liegenschaft)</w:t>
      </w:r>
      <w:r>
        <w:t xml:space="preserve"> — die Nennleistung wird so skaliert, dass der Jahresertrag ≈ dem Jahresstrombedarf der Liegenschaft entspricht (Ertrag skaliert linear mit der Nennleistung). Zeigt die „passende" Anlagengröße für Eigenverbrauch.</w:t>
      </w:r>
    </w:p>
    <w:p>
      <w:pPr>
        <w:pStyle w:val="ListParagraph"/>
        <w:numPr>
          <w:ilvl w:val="0"/>
          <w:numId w:val="3"/>
        </w:numPr>
        <w:spacing w:after="80" w:line="276"/>
      </w:pPr>
      <w:r>
        <w:rPr>
          <w:b/>
          <w:bCs/>
        </w:rPr>
        <w:t xml:space="preserve">Maximal möglich</w:t>
      </w:r>
      <w:r>
        <w:t xml:space="preserve"> — Minimum aus Flächenlimit (aus dem Abstand zur Plangebietsgrenze zurückgerechnet) und Marktobergrenze (aktuell ~6.000 kW / 162 m Rotor). Zeigt die technische Obergrenze am Standort.</w:t>
      </w:r>
    </w:p>
    <w:p>
      <w:pPr>
        <w:pBdr>
          <w:left w:val="single" w:color="E0A800" w:sz="18" w:space="8"/>
        </w:pBdr>
        <w:shd w:fill="FBF3D9" w:val="clear"/>
        <w:spacing w:after="140" w:before="40" w:line="276"/>
        <w:ind w:left="140" w:right="140"/>
      </w:pPr>
      <w:r>
        <w:t xml:space="preserve">Diese drei Varianten sind die typischen Gesprächsanker mit dem Liegenschaftseigentümer: genehmigungsarm ↔ eigenbedarfsdeckend ↔ maximaler Beitrag.</w:t>
      </w:r>
    </w:p>
    <w:p>
      <w:pPr>
        <w:pStyle w:val="Heading2"/>
      </w:pPr>
      <w:r>
        <w:t xml:space="preserve">3.4 Nebengröße: Schallleistungspegel</w:t>
      </w:r>
    </w:p>
    <w:p>
      <w:pPr>
        <w:spacing w:after="120" w:before="0" w:line="276"/>
      </w:pPr>
      <w:r>
        <w:rPr>
          <w:rFonts w:ascii="Consolas" w:cs="Consolas" w:eastAsia="Consolas" w:hAnsi="Consolas"/>
          <w:color w:val="0E4A50"/>
          <w:sz w:val="20"/>
          <w:szCs w:val="20"/>
        </w:rPr>
        <w:t xml:space="preserve">calcWindLwaAuto()</w:t>
      </w:r>
      <w:r>
        <w:t xml:space="preserve"> schätzt aus der Nennleistung grob einen Schallleistungspegel (82 + 7·log₁₀(kW), gedeckelt 90–107 dB(A)). Das ist ein grober Startwert für die erste Abstandsdiskussion — kein Ersatz für Herstellerangabe oder Schallgutachten, die für die TA-Lärm-Prüfung nötig sind.</w:t>
      </w:r>
    </w:p>
    <w:p>
      <w:r>
        <w:br w:type="page"/>
      </w:r>
    </w:p>
    <w:p>
      <w:pPr>
        <w:pStyle w:val="Heading1"/>
      </w:pPr>
      <w:r>
        <w:t xml:space="preserve">4. Empfehlen — Fläche, Anlagenzahl und Variantenwahl</w:t>
      </w:r>
    </w:p>
    <w:p>
      <w:pPr>
        <w:spacing w:after="120" w:before="0" w:line="276"/>
      </w:pPr>
      <w:r>
        <w:rPr>
          <w:b/>
          <w:bCs/>
        </w:rPr>
        <w:t xml:space="preserve">Ziel:</w:t>
      </w:r>
      <w:r>
        <w:t xml:space="preserve"> Wie viele Anlagen welcher Größe passen realistisch ins Gebiet — und welche Variante empfehlen wir?</w:t>
      </w:r>
    </w:p>
    <w:p>
      <w:pPr>
        <w:pStyle w:val="Heading2"/>
      </w:pPr>
      <w:r>
        <w:t xml:space="preserve">4.1 Das Eignungsflächen-Raster</w:t>
      </w:r>
    </w:p>
    <w:p>
      <w:pPr>
        <w:spacing w:after="120" w:before="0" w:line="276"/>
      </w:pPr>
      <w:r>
        <w:rPr>
          <w:rFonts w:ascii="Consolas" w:cs="Consolas" w:eastAsia="Consolas" w:hAnsi="Consolas"/>
          <w:color w:val="0E4A50"/>
          <w:sz w:val="20"/>
          <w:szCs w:val="20"/>
        </w:rPr>
        <w:t xml:space="preserve">computeSuitabilityGrid()</w:t>
      </w:r>
      <w:r>
        <w:t xml:space="preserve"> (in 13s-wind-flaeche.js) rastert das Gebiet (Default 20 m) und markiert jede Zelle als geeignet, wenn sie:</w:t>
      </w:r>
    </w:p>
    <w:p>
      <w:pPr>
        <w:pStyle w:val="ListParagraph"/>
        <w:numPr>
          <w:ilvl w:val="0"/>
          <w:numId w:val="3"/>
        </w:numPr>
        <w:spacing w:after="80" w:line="276"/>
      </w:pPr>
      <w:r>
        <w:t xml:space="preserve">innerhalb des Windgebiets/Plangebiets liegt,</w:t>
      </w:r>
    </w:p>
    <w:p>
      <w:pPr>
        <w:pStyle w:val="ListParagraph"/>
        <w:numPr>
          <w:ilvl w:val="0"/>
          <w:numId w:val="3"/>
        </w:numPr>
        <w:spacing w:after="80" w:line="276"/>
      </w:pPr>
      <w:r>
        <w:t xml:space="preserve">mindestens boundaryM von der Gebietsgrenze entfernt ist, und</w:t>
      </w:r>
    </w:p>
    <w:p>
      <w:pPr>
        <w:pStyle w:val="ListParagraph"/>
        <w:numPr>
          <w:ilvl w:val="0"/>
          <w:numId w:val="3"/>
        </w:numPr>
        <w:spacing w:after="80" w:line="276"/>
      </w:pPr>
      <w:r>
        <w:t xml:space="preserve">mindestens radiusM von jedem Gebäude entfernt ist.</w:t>
      </w:r>
    </w:p>
    <w:p>
      <w:pPr>
        <w:spacing w:after="120" w:before="0" w:line="276"/>
      </w:pPr>
      <w:r>
        <w:t xml:space="preserve">Der Clou sind die zwei getrennten Abstände:</w:t>
      </w:r>
    </w:p>
    <w:p>
      <w:pPr>
        <w:pStyle w:val="ListParagraph"/>
        <w:numPr>
          <w:ilvl w:val="0"/>
          <w:numId w:val="2"/>
        </w:numPr>
        <w:spacing w:after="60" w:line="276"/>
      </w:pPr>
      <w:r>
        <w:rPr>
          <w:b/>
          <w:bCs/>
        </w:rPr>
        <w:t xml:space="preserve">Planungsabstand radiusM = Multiplikator × Rotordurchmesser</w:t>
      </w:r>
      <w:r>
        <w:t xml:space="preserve"> (Default 5×Ø). Gilt zu Wohnbebauung/Gebäuden und zwischen den Anlagen untereinander — die Faustregel für Immissionsschutz und Abschattung.</w:t>
      </w:r>
    </w:p>
    <w:p>
      <w:pPr>
        <w:pStyle w:val="ListParagraph"/>
        <w:numPr>
          <w:ilvl w:val="0"/>
          <w:numId w:val="2"/>
        </w:numPr>
        <w:spacing w:after="60" w:line="276"/>
      </w:pPr>
      <w:r>
        <w:rPr>
          <w:b/>
          <w:bCs/>
        </w:rPr>
        <w:t xml:space="preserve">Grenzabstand boundaryM ≈ Kipphöhe (≈ Gesamthöhe)</w:t>
      </w:r>
      <w:r>
        <w:t xml:space="preserve">. Zur reinen Gebietsgrenze reicht physikalisch die Kipphöhe, nicht der volle Planungsabstand.</w:t>
      </w:r>
    </w:p>
    <w:p>
      <w:pPr>
        <w:pBdr>
          <w:left w:val="single" w:color="E0A800" w:sz="18" w:space="8"/>
        </w:pBdr>
        <w:shd w:fill="FBF3D9" w:val="clear"/>
        <w:spacing w:after="140" w:before="40" w:line="276"/>
        <w:ind w:left="140" w:right="140"/>
      </w:pPr>
      <w:r>
        <w:rPr>
          <w:b/>
          <w:bCs/>
        </w:rPr>
        <w:t xml:space="preserve">Warum diese Trennung wichtig ist:</w:t>
      </w:r>
      <w:r>
        <w:t xml:space="preserve"> Würde man auch zur Gebietsgrenze den vollen 5×Ø-Abstand ansetzen, schrumpft die nutzbare Fläche dramatisch und die Anlagenzahl wird massiv unterschätzt. Die Trennung ist am Windpark Rosengarten II validiert (2 reale Anlagen auf ~150–240 ha).</w:t>
      </w:r>
    </w:p>
    <w:p>
      <w:pPr>
        <w:spacing w:after="120" w:before="0" w:line="276"/>
      </w:pPr>
      <w:r>
        <w:t xml:space="preserve">Die geeignete Fläche wird im Inspector über „Eignungsfläche auf Karte anzeigen" eingeblendet und in ha in der Windanalyse-Karte je Anlage berichtet.</w:t>
      </w:r>
    </w:p>
    <w:p>
      <w:pPr>
        <w:pStyle w:val="Heading2"/>
      </w:pPr>
      <w:r>
        <w:t xml:space="preserve">4.2 Platzierungsvorschläge</w:t>
      </w:r>
    </w:p>
    <w:p>
      <w:pPr>
        <w:spacing w:after="120" w:before="0" w:line="276"/>
      </w:pPr>
      <w:r>
        <w:rPr>
          <w:rFonts w:ascii="Consolas" w:cs="Consolas" w:eastAsia="Consolas" w:hAnsi="Consolas"/>
          <w:color w:val="0E4A50"/>
          <w:sz w:val="20"/>
          <w:szCs w:val="20"/>
        </w:rPr>
        <w:t xml:space="preserve">computeTurbinePlacements()</w:t>
      </w:r>
      <w:r>
        <w:t xml:space="preserve"> wählt aus dem (feineren) Eignungsraster greedy Standorte, die untereinander mindestens den Planungsabstand einhalten. Das ist bewusst kein echtes Packungsoptimum (keine Kreispackung), sondern eine schnelle, robuste Näherung. Bereits vorhandene Anlagen werden als Ausschlusskreise behandelt, so dass Vorschläge nicht an Bestandsanlagen heranrücken.</w:t>
      </w:r>
    </w:p>
    <w:p>
      <w:pPr>
        <w:pStyle w:val="Heading2"/>
      </w:pPr>
      <w:r>
        <w:t xml:space="preserve">4.3 Die drei Anlagenklassen</w:t>
      </w:r>
    </w:p>
    <w:p>
      <w:pPr>
        <w:spacing w:after="120" w:before="0" w:line="276"/>
      </w:pPr>
      <w:r>
        <w:t xml:space="preserve">Im Panel werden drei marktübliche Klassen gegeneinander gerechnet: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500"/>
        <w:gridCol w:w="1700"/>
        <w:gridCol w:w="2760"/>
      </w:tblGrid>
      <w:tr>
        <w:trPr>
          <w:tblHeader/>
        </w:trPr>
        <w:tc>
          <w:tcPr>
            <w:tcW w:type="dxa" w:w="15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Klasse</w:t>
            </w:r>
          </w:p>
        </w:tc>
        <w:tc>
          <w:tcPr>
            <w:tcW w:type="dxa" w:w="19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Nennleistung</w:t>
            </w:r>
          </w:p>
        </w:tc>
        <w:tc>
          <w:tcPr>
            <w:tcW w:type="dxa" w:w="15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Rotor-Ø</w:t>
            </w:r>
          </w:p>
        </w:tc>
        <w:tc>
          <w:tcPr>
            <w:tcW w:type="dxa" w:w="17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Nabenhöhe</w:t>
            </w:r>
          </w:p>
        </w:tc>
        <w:tc>
          <w:tcPr>
            <w:tcW w:type="dxa" w:w="276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Gesamthöhe</w:t>
            </w:r>
          </w:p>
        </w:tc>
      </w:tr>
      <w:tr>
        <w:tc>
          <w:tcPr>
            <w:tcW w:type="dxa" w:w="15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Klein</w:t>
            </w:r>
          </w:p>
        </w:tc>
        <w:tc>
          <w:tcPr>
            <w:tcW w:type="dxa" w:w="19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150 kW</w:t>
            </w:r>
          </w:p>
        </w:tc>
        <w:tc>
          <w:tcPr>
            <w:tcW w:type="dxa" w:w="15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30 m</w:t>
            </w:r>
          </w:p>
        </w:tc>
        <w:tc>
          <w:tcPr>
            <w:tcW w:type="dxa" w:w="1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35 m</w:t>
            </w:r>
          </w:p>
        </w:tc>
        <w:tc>
          <w:tcPr>
            <w:tcW w:type="dxa" w:w="27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50 m (genehmigungsarm)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Mittel</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500 kW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60 m</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100 m</w:t>
            </w:r>
          </w:p>
        </w:tc>
        <w:tc>
          <w:tcPr>
            <w:tcW w:type="dxa" w:w="2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130 m</w:t>
            </w:r>
          </w:p>
        </w:tc>
      </w:tr>
      <w:tr>
        <w:tc>
          <w:tcPr>
            <w:tcW w:type="dxa" w:w="15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Groß</w:t>
            </w:r>
          </w:p>
        </w:tc>
        <w:tc>
          <w:tcPr>
            <w:tcW w:type="dxa" w:w="19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4.200 kW</w:t>
            </w:r>
          </w:p>
        </w:tc>
        <w:tc>
          <w:tcPr>
            <w:tcW w:type="dxa" w:w="15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140 m</w:t>
            </w:r>
          </w:p>
        </w:tc>
        <w:tc>
          <w:tcPr>
            <w:tcW w:type="dxa" w:w="1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150 m</w:t>
            </w:r>
          </w:p>
        </w:tc>
        <w:tc>
          <w:tcPr>
            <w:tcW w:type="dxa" w:w="27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220 m</w:t>
            </w:r>
          </w:p>
        </w:tc>
      </w:tr>
    </w:tbl>
    <w:p>
      <w:pPr>
        <w:spacing w:after="60"/>
      </w:pPr>
      <w:r>
        <w:t xml:space="preserve"/>
      </w:r>
    </w:p>
    <w:p>
      <w:pPr>
        <w:spacing w:after="120" w:before="0" w:line="276"/>
      </w:pPr>
      <w:r>
        <w:t xml:space="preserve">Für jede Klasse zeigt das Panel: Anzahl gefundener Standorte × Ertrag je Anlage → Gesamt-MW und Gesamt-MWh/a. Der Mittelwind wird je Klasse auf ihre Nabenhöhe umgerechnet (Hellmann), damit die 35-m-Kleinanlage nicht mit dem 150-m-Wind gerechnet wird. Über „übernehmen" werden echte, danach frei editierbare Anlagen an den Vorschlagspunkten angelegt.</w:t>
      </w:r>
    </w:p>
    <w:p>
      <w:pPr>
        <w:pStyle w:val="Heading2"/>
      </w:pPr>
      <w:r>
        <w:t xml:space="preserve">4.4 Wie man daraus eine Empfehlung formt</w:t>
      </w:r>
    </w:p>
    <w:p>
      <w:pPr>
        <w:spacing w:after="120" w:before="0" w:line="276"/>
      </w:pPr>
      <w:r>
        <w:t xml:space="preserve">Die Empfehlung ist immer ein Abwägen von drei Achsen, die das Tool sichtbar macht:</w:t>
      </w:r>
    </w:p>
    <w:p>
      <w:pPr>
        <w:pStyle w:val="ListParagraph"/>
        <w:numPr>
          <w:ilvl w:val="0"/>
          <w:numId w:val="3"/>
        </w:numPr>
        <w:spacing w:after="80" w:line="276"/>
      </w:pPr>
      <w:r>
        <w:rPr>
          <w:b/>
          <w:bCs/>
        </w:rPr>
        <w:t xml:space="preserve">Ertrag / Beitrag</w:t>
      </w:r>
      <w:r>
        <w:t xml:space="preserve"> — Gesamt-MWh/a je Variante gegen den Liegenschaftsbedarf (Header-Kachel) halten.</w:t>
      </w:r>
    </w:p>
    <w:p>
      <w:pPr>
        <w:pStyle w:val="ListParagraph"/>
        <w:numPr>
          <w:ilvl w:val="0"/>
          <w:numId w:val="3"/>
        </w:numPr>
        <w:spacing w:after="80" w:line="276"/>
      </w:pPr>
      <w:r>
        <w:rPr>
          <w:b/>
          <w:bCs/>
        </w:rPr>
        <w:t xml:space="preserve">Genehmigbarkeit</w:t>
      </w:r>
      <w:r>
        <w:t xml:space="preserve"> — Gesamthöhe (grün ≤ 50 m), Abstände, Anlagenzahl. Kleine Klasse = niedrige Hürde, kleiner Beitrag; große Klasse = umgekehrt.</w:t>
      </w:r>
    </w:p>
    <w:p>
      <w:pPr>
        <w:pStyle w:val="ListParagraph"/>
        <w:numPr>
          <w:ilvl w:val="0"/>
          <w:numId w:val="3"/>
        </w:numPr>
        <w:spacing w:after="80" w:line="276"/>
      </w:pPr>
      <w:r>
        <w:rPr>
          <w:b/>
          <w:bCs/>
        </w:rPr>
        <w:t xml:space="preserve">Standortgüte</w:t>
      </w:r>
      <w:r>
        <w:t xml:space="preserve"> — Volllaststunden/Kapazitätsfaktor: unter ~1.500 Vlh wird es wirtschaftlich kritisch, ein Warnsignal für den Standort insgesamt.</w:t>
      </w:r>
    </w:p>
    <w:p>
      <w:pPr>
        <w:spacing w:after="120" w:before="0" w:line="276"/>
      </w:pPr>
      <w:r>
        <w:t xml:space="preserve">Eine gute Tool-gestützte Empfehlung nennt typischerweise zwei Varianten: die genehmigungsarme (Klein/≤50 m) als sichere Untergrenze und die bedarfs- oder flächenoptimale (Mittel/Groß) als Zielbild — jeweils mit Anlagenzahl, Gesamtleistung, Jahresertrag und dem Hinweis auf die nötige Einzelfallprüfung.</w:t>
      </w:r>
    </w:p>
    <w:p>
      <w:r>
        <w:br w:type="page"/>
      </w:r>
    </w:p>
    <w:p>
      <w:pPr>
        <w:pStyle w:val="Heading1"/>
      </w:pPr>
      <w:r>
        <w:t xml:space="preserve">5. Grenzen &amp; Vorbehalte (immer mitkommunizieren)</w:t>
      </w:r>
    </w:p>
    <w:p>
      <w:pPr>
        <w:spacing w:after="120" w:before="0" w:line="276"/>
      </w:pPr>
      <w:r>
        <w:t xml:space="preserve">Das Tool ist ein Screening-Werkzeug. Was es nicht leistet und in einer Empfehlung ausdrücklich unter Vorbehalt zu stellen ist:</w:t>
      </w:r>
    </w:p>
    <w:p>
      <w:pPr>
        <w:pStyle w:val="ListParagraph"/>
        <w:numPr>
          <w:ilvl w:val="0"/>
          <w:numId w:val="2"/>
        </w:numPr>
        <w:spacing w:after="60" w:line="276"/>
      </w:pPr>
      <w:r>
        <w:rPr>
          <w:b/>
          <w:bCs/>
        </w:rPr>
        <w:t xml:space="preserve">Kein Windgutachten.</w:t>
      </w:r>
      <w:r>
        <w:t xml:space="preserve"> ERA5 ist ein 25-km-Raster ohne lokale Topografie. Der reale Standortwind kann deutlich abweichen — nur eine Messung (MetMast/LiDAR) ist belastbar.</w:t>
      </w:r>
    </w:p>
    <w:p>
      <w:pPr>
        <w:pStyle w:val="ListParagraph"/>
        <w:numPr>
          <w:ilvl w:val="0"/>
          <w:numId w:val="2"/>
        </w:numPr>
        <w:spacing w:after="60" w:line="276"/>
      </w:pPr>
      <w:r>
        <w:rPr>
          <w:b/>
          <w:bCs/>
        </w:rPr>
        <w:t xml:space="preserve">Keine Herstellerkennlinie.</w:t>
      </w:r>
      <w:r>
        <w:t xml:space="preserve"> Die generische v³-Kurve über-/unterschätzt reale Anlagen.</w:t>
      </w:r>
    </w:p>
    <w:p>
      <w:pPr>
        <w:pStyle w:val="ListParagraph"/>
        <w:numPr>
          <w:ilvl w:val="0"/>
          <w:numId w:val="2"/>
        </w:numPr>
        <w:spacing w:after="60" w:line="276"/>
      </w:pPr>
      <w:r>
        <w:rPr>
          <w:b/>
          <w:bCs/>
        </w:rPr>
        <w:t xml:space="preserve">Keine Genehmigungsprüfung.</w:t>
      </w:r>
      <w:r>
        <w:t xml:space="preserve"> Abstände sind Faustregeln (×Ø, Kipphöhe), keine Einzelfallprüfung nach BImSchG, TA-Lärm, Artenschutz, Denkmalschutz, Drehfunk/Radar, Abstandsflächenrecht oder landesspezifischen Mindestabständen (z. B. 1000-m-Regeln).</w:t>
      </w:r>
    </w:p>
    <w:p>
      <w:pPr>
        <w:pStyle w:val="ListParagraph"/>
        <w:numPr>
          <w:ilvl w:val="0"/>
          <w:numId w:val="2"/>
        </w:numPr>
        <w:spacing w:after="60" w:line="276"/>
      </w:pPr>
      <w:r>
        <w:rPr>
          <w:b/>
          <w:bCs/>
        </w:rPr>
        <w:t xml:space="preserve">Keine Netz-/Einspeiseprüfung</w:t>
      </w:r>
      <w:r>
        <w:t xml:space="preserve"> an dieser Stelle — die läuft über die separate Netz-/Knotenpunkt-Analyse.</w:t>
      </w:r>
    </w:p>
    <w:p>
      <w:pPr>
        <w:pStyle w:val="ListParagraph"/>
        <w:numPr>
          <w:ilvl w:val="0"/>
          <w:numId w:val="2"/>
        </w:numPr>
        <w:spacing w:after="60" w:line="276"/>
      </w:pPr>
      <w:r>
        <w:rPr>
          <w:b/>
          <w:bCs/>
        </w:rPr>
        <w:t xml:space="preserve">Platzierung ist Näherung</w:t>
      </w:r>
      <w:r>
        <w:t xml:space="preserve"> (Greedy-Raster), kein Packungsoptimum.</w:t>
      </w:r>
    </w:p>
    <w:p>
      <w:pPr>
        <w:pStyle w:val="ListParagraph"/>
        <w:numPr>
          <w:ilvl w:val="0"/>
          <w:numId w:val="2"/>
        </w:numPr>
        <w:spacing w:after="60" w:line="276"/>
      </w:pPr>
      <w:r>
        <w:rPr>
          <w:b/>
          <w:bCs/>
        </w:rPr>
        <w:t xml:space="preserve">Schallwert ist Schätzung</w:t>
      </w:r>
      <w:r>
        <w:t xml:space="preserve"> aus der Nennleistung, kein Schallgutachten.</w:t>
      </w:r>
    </w:p>
    <w:p>
      <w:pPr>
        <w:pBdr>
          <w:left w:val="single" w:color="E0A800" w:sz="18" w:space="8"/>
        </w:pBdr>
        <w:shd w:fill="FBF3D9" w:val="clear"/>
        <w:spacing w:after="140" w:before="40" w:line="276"/>
        <w:ind w:left="140" w:right="140"/>
      </w:pPr>
      <w:r>
        <w:rPr>
          <w:b/>
          <w:bCs/>
        </w:rPr>
        <w:t xml:space="preserve">Merksatz für Berichte:</w:t>
      </w:r>
      <w:r>
        <w:t xml:space="preserve"> „Alle Windzahlen sind Screening-Größen zur Standortbewertung und zum Variantenvergleich; für Auslegung und Genehmigung sind Standortwindgutachten, Herstellerkennlinien und die fachrechtliche Einzelfallprüfung maßgeblich."</w:t>
      </w:r>
    </w:p>
    <w:p>
      <w:pPr>
        <w:pStyle w:val="Heading1"/>
      </w:pPr>
      <w:r>
        <w:t xml:space="preserve">6. Kurz-Workflow im Tool (Checkliste)</w:t>
      </w:r>
    </w:p>
    <w:p>
      <w:pPr>
        <w:pStyle w:val="ListParagraph"/>
        <w:numPr>
          <w:ilvl w:val="0"/>
          <w:numId w:val="3"/>
        </w:numPr>
        <w:spacing w:after="80" w:line="276"/>
      </w:pPr>
      <w:r>
        <w:rPr>
          <w:b/>
          <w:bCs/>
        </w:rPr>
        <w:t xml:space="preserve">Gebiet festlegen</w:t>
      </w:r>
      <w:r>
        <w:t xml:space="preserve"> — optional eigenes Windgebiet zeichnen, sonst gilt das Plangebiet.</w:t>
      </w:r>
    </w:p>
    <w:p>
      <w:pPr>
        <w:pStyle w:val="ListParagraph"/>
        <w:numPr>
          <w:ilvl w:val="0"/>
          <w:numId w:val="3"/>
        </w:numPr>
        <w:spacing w:after="80" w:line="276"/>
      </w:pPr>
      <w:r>
        <w:rPr>
          <w:b/>
          <w:bCs/>
        </w:rPr>
        <w:t xml:space="preserve">Winddaten laden</w:t>
      </w:r>
      <w:r>
        <w:t xml:space="preserve"> — v̄₁₀₀, k, α prüfen. Jahre 1–5 wählen.</w:t>
      </w:r>
    </w:p>
    <w:p>
      <w:pPr>
        <w:pStyle w:val="ListParagraph"/>
        <w:numPr>
          <w:ilvl w:val="0"/>
          <w:numId w:val="3"/>
        </w:numPr>
        <w:spacing w:after="80" w:line="276"/>
      </w:pPr>
      <w:r>
        <w:rPr>
          <w:b/>
          <w:bCs/>
        </w:rPr>
        <w:t xml:space="preserve">Platzierungsvorschläge</w:t>
      </w:r>
      <w:r>
        <w:t xml:space="preserve"> ansehen — Ø-Wind und Planungsabstand ×Ø ggf. anpassen; die drei Klassen (Klein/Mittel/Groß) mit Anzahl × Ertrag vergleichen.</w:t>
      </w:r>
    </w:p>
    <w:p>
      <w:pPr>
        <w:pStyle w:val="ListParagraph"/>
        <w:numPr>
          <w:ilvl w:val="0"/>
          <w:numId w:val="3"/>
        </w:numPr>
        <w:spacing w:after="80" w:line="276"/>
      </w:pPr>
      <w:r>
        <w:rPr>
          <w:b/>
          <w:bCs/>
        </w:rPr>
        <w:t xml:space="preserve">Variante übernehmen</w:t>
      </w:r>
      <w:r>
        <w:t xml:space="preserve"> — passende Klasse als echte Anlagen anlegen.</w:t>
      </w:r>
    </w:p>
    <w:p>
      <w:pPr>
        <w:pStyle w:val="ListParagraph"/>
        <w:numPr>
          <w:ilvl w:val="0"/>
          <w:numId w:val="3"/>
        </w:numPr>
        <w:spacing w:after="80" w:line="276"/>
      </w:pPr>
      <w:r>
        <w:rPr>
          <w:b/>
          <w:bCs/>
        </w:rPr>
        <w:t xml:space="preserve">Feinjustage je Anlage</w:t>
      </w:r>
      <w:r>
        <w:t xml:space="preserve"> im Inspector — Nabenhöhe/Rotor/Leistung/Kennlinie; Eignungsfläche einblenden; Szenarien-Vergleich (≤50 m / Bedarf / Max) lesen.</w:t>
      </w:r>
    </w:p>
    <w:p>
      <w:pPr>
        <w:pStyle w:val="ListParagraph"/>
        <w:numPr>
          <w:ilvl w:val="0"/>
          <w:numId w:val="3"/>
        </w:numPr>
        <w:spacing w:after="80" w:line="276"/>
      </w:pPr>
      <w:r>
        <w:rPr>
          <w:b/>
          <w:bCs/>
        </w:rPr>
        <w:t xml:space="preserve">Kennwerte übernehmen</w:t>
      </w:r>
      <w:r>
        <w:t xml:space="preserve"> — falls Anlagen zuerst angelegt wurden: ERA5-Werte auf alle Anlagen schreiben.</w:t>
      </w:r>
    </w:p>
    <w:p>
      <w:pPr>
        <w:pStyle w:val="ListParagraph"/>
        <w:numPr>
          <w:ilvl w:val="0"/>
          <w:numId w:val="3"/>
        </w:numPr>
        <w:spacing w:after="80" w:line="276"/>
      </w:pPr>
      <w:r>
        <w:rPr>
          <w:b/>
          <w:bCs/>
        </w:rPr>
        <w:t xml:space="preserve">Empfehlung formulieren</w:t>
      </w:r>
      <w:r>
        <w:t xml:space="preserve"> — zwei Varianten (genehmigungsarm ↔ Zielbild) mit Anzahl, MW, MWh/a und dem Vorbehalt aus Kap. 5.</w:t>
      </w:r>
    </w:p>
    <w:p>
      <w:r>
        <w:br w:type="page"/>
      </w:r>
    </w:p>
    <w:p>
      <w:pPr>
        <w:pStyle w:val="Heading1"/>
      </w:pPr>
      <w:r>
        <w:t xml:space="preserve">7. Formel- &amp; Kennzahlen-Glossar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60"/>
        <w:gridCol w:w="2400"/>
      </w:tblGrid>
      <w:tr>
        <w:trPr>
          <w:tblHeader/>
        </w:trPr>
        <w:tc>
          <w:tcPr>
            <w:tcW w:type="dxa" w:w="27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Größe</w:t>
            </w:r>
          </w:p>
        </w:tc>
        <w:tc>
          <w:tcPr>
            <w:tcW w:type="dxa" w:w="426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Formel / Wert</w:t>
            </w:r>
          </w:p>
        </w:tc>
        <w:tc>
          <w:tcPr>
            <w:tcW w:type="dxa" w:w="2400"/>
            <w:tcBorders>
              <w:top w:val="single" w:color="CCCCCC" w:sz="1"/>
              <w:left w:val="single" w:color="CCCCCC" w:sz="1"/>
              <w:bottom w:val="single" w:color="CCCCCC" w:sz="1"/>
              <w:right w:val="single" w:color="CCCCCC" w:sz="1"/>
            </w:tcBorders>
            <w:shd w:fill="D6EAEC" w:val="clear"/>
            <w:tcMar>
              <w:top w:type="dxa" w:w="60"/>
              <w:left w:type="dxa" w:w="120"/>
              <w:bottom w:type="dxa" w:w="60"/>
              <w:right w:type="dxa" w:w="120"/>
            </w:tcMar>
            <w:vAlign w:val="center"/>
          </w:tcPr>
          <w:p>
            <w:pPr>
              <w:spacing w:after="0" w:line="264"/>
            </w:pPr>
            <w:r>
              <w:rPr>
                <w:b/>
                <w:bCs/>
                <w:color w:val="0E4A50"/>
              </w:rPr>
              <w:t xml:space="preserve">Quelle im Code</w:t>
            </w:r>
          </w:p>
        </w:tc>
      </w:tr>
      <w:tr>
        <w:tc>
          <w:tcPr>
            <w:tcW w:type="dxa" w:w="2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Windleistung</w:t>
            </w:r>
          </w:p>
        </w:tc>
        <w:tc>
          <w:tcPr>
            <w:tcW w:type="dxa" w:w="4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P ∝ ½ ρ A v³</w:t>
            </w:r>
          </w:p>
        </w:tc>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Prinzip</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Leistungskurve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P = P_nenn·(v³−v_ein³)/(v_nenn³−v_ein³)</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turbinePowerKw()</w:t>
            </w:r>
          </w:p>
        </w:tc>
      </w:tr>
      <w:tr>
        <w:tc>
          <w:tcPr>
            <w:tcW w:type="dxa" w:w="2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Weibull-Skala</w:t>
            </w:r>
          </w:p>
        </w:tc>
        <w:tc>
          <w:tcPr>
            <w:tcW w:type="dxa" w:w="4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A = v̄ / Γ(1+1/k)</w:t>
            </w:r>
          </w:p>
        </w:tc>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weibullScaleFromMean()</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Weibull-Dichte</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f(v) = (k/A)(v/A)^(k−1) e^(−(v/A)^k)</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weibullPdf()</w:t>
            </w:r>
          </w:p>
        </w:tc>
      </w:tr>
      <w:tr>
        <w:tc>
          <w:tcPr>
            <w:tcW w:type="dxa" w:w="2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Jahresertrag</w:t>
            </w:r>
          </w:p>
        </w:tc>
        <w:tc>
          <w:tcPr>
            <w:tcW w:type="dxa" w:w="4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 f(v)·P(v) dv · 8760</w:t>
            </w:r>
          </w:p>
        </w:tc>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computeWindYield()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Volllaststunden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Jahresertrag / P_nenn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computeWindYield()</w:t>
            </w:r>
          </w:p>
        </w:tc>
      </w:tr>
      <w:tr>
        <w:tc>
          <w:tcPr>
            <w:tcW w:type="dxa" w:w="2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Kapazitätsfaktor</w:t>
            </w:r>
          </w:p>
        </w:tc>
        <w:tc>
          <w:tcPr>
            <w:tcW w:type="dxa" w:w="4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Vlh / 8760</w:t>
            </w:r>
          </w:p>
        </w:tc>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computeWindYield()</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spez. Flächenleistung</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P_nenn / (π·(D/2)²)</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computeWindYield()</w:t>
            </w:r>
          </w:p>
        </w:tc>
      </w:tr>
      <w:tr>
        <w:tc>
          <w:tcPr>
            <w:tcW w:type="dxa" w:w="2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Höhenformel (Hellmann)</w:t>
            </w:r>
          </w:p>
        </w:tc>
        <w:tc>
          <w:tcPr>
            <w:tcW w:type="dxa" w:w="4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v(h) = v_ref·(h/h_ref)^α</w:t>
            </w:r>
          </w:p>
        </w:tc>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windSiteVAtHeight()</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Weibull-k aus Daten</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k = (σ/v̄)^(−1,086), [1,2 … 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fetchWindSiteData()</w:t>
            </w:r>
          </w:p>
        </w:tc>
      </w:tr>
      <w:tr>
        <w:tc>
          <w:tcPr>
            <w:tcW w:type="dxa" w:w="2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Hellmann-α aus Daten</w:t>
            </w:r>
          </w:p>
        </w:tc>
        <w:tc>
          <w:tcPr>
            <w:tcW w:type="dxa" w:w="4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α = ln(v̄₁₀₀/v̄₁₀)/ln(10), [0,10 … 0,45]</w:t>
            </w:r>
          </w:p>
        </w:tc>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fetchWindSiteData()</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Schallpegel (grob)</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82 + 7·log₁₀(kW), [90 … 107] dB(A)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calcWindLwaAuto()</w:t>
            </w:r>
          </w:p>
        </w:tc>
      </w:tr>
      <w:tr>
        <w:tc>
          <w:tcPr>
            <w:tcW w:type="dxa" w:w="2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Gesamthöhe</w:t>
            </w:r>
          </w:p>
        </w:tc>
        <w:tc>
          <w:tcPr>
            <w:tcW w:type="dxa" w:w="4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Nabenhöhe + Rotor/2</w:t>
            </w:r>
          </w:p>
        </w:tc>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überall</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Planungsabstand</w:t>
            </w:r>
          </w:p>
        </w:tc>
        <w:tc>
          <w:tcPr>
            <w:tcW w:type="dxa" w:w="4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Multiplikator × Rotor-Ø (Default 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64"/>
            </w:pPr>
            <w:r>
              <w:t xml:space="preserve">13s, Inspector</w:t>
            </w:r>
          </w:p>
        </w:tc>
      </w:tr>
      <w:tr>
        <w:tc>
          <w:tcPr>
            <w:tcW w:type="dxa" w:w="27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Grenzabstand</w:t>
            </w:r>
          </w:p>
        </w:tc>
        <w:tc>
          <w:tcPr>
            <w:tcW w:type="dxa" w:w="426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 Kipphöhe ≈ Gesamthöhe</w:t>
            </w:r>
          </w:p>
        </w:tc>
        <w:tc>
          <w:tcPr>
            <w:tcW w:type="dxa" w:w="2400"/>
            <w:tcBorders>
              <w:top w:val="single" w:color="CCCCCC" w:sz="1"/>
              <w:left w:val="single" w:color="CCCCCC" w:sz="1"/>
              <w:bottom w:val="single" w:color="CCCCCC" w:sz="1"/>
              <w:right w:val="single" w:color="CCCCCC" w:sz="1"/>
            </w:tcBorders>
            <w:shd w:fill="F2F7F8" w:val="clear"/>
            <w:tcMar>
              <w:top w:type="dxa" w:w="60"/>
              <w:left w:type="dxa" w:w="120"/>
              <w:bottom w:type="dxa" w:w="60"/>
              <w:right w:type="dxa" w:w="120"/>
            </w:tcMar>
            <w:vAlign w:val="center"/>
          </w:tcPr>
          <w:p>
            <w:pPr>
              <w:spacing w:after="0" w:line="264"/>
            </w:pPr>
            <w:r>
              <w:t xml:space="preserve">computeSuitabilityGrid()</w:t>
            </w:r>
          </w:p>
        </w:tc>
      </w:tr>
    </w:tbl>
    <w:p>
      <w:pPr>
        <w:spacing w:after="80"/>
      </w:pPr>
      <w:r>
        <w:t xml:space="preserve"/>
      </w:r>
    </w:p>
    <w:p>
      <w:pPr>
        <w:spacing w:after="120" w:before="0" w:line="276"/>
      </w:pPr>
      <w:r>
        <w:rPr>
          <w:b/>
          <w:bCs/>
          <w:color w:val="555555"/>
        </w:rPr>
        <w:t xml:space="preserve">Relevante Dateien:</w:t>
      </w:r>
      <w:r>
        <w:rPr>
          <w:color w:val="555555"/>
        </w:rPr>
        <w:t xml:space="preserve"> src/13q-wind-ertrag.js (Ertrag, Weibull, Standortdaten, Profile) · src/13s-wind-flaeche.js (Eignungsfläche, Platzierung) · src/13t-wind-analyse.js (Panel/Workflow) · src/13e-assets-inspector.js (Anlagen-Inspector).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Seite </w:t>
    </w:r>
    <w:r>
      <w:rPr>
        <w:color w:val="555555"/>
        <w:sz w:val="16"/>
        <w:szCs w:val="16"/>
      </w:rPr>
      <w:fldChar w:fldCharType="begin"/>
      <w:instrText xml:space="preserve">PAGE</w:instrText>
      <w:fldChar w:fldCharType="separate"/>
      <w:fldChar w:fldCharType="end"/>
    </w:r>
    <w:r>
      <w:rPr>
        <w:color w:val="555555"/>
        <w:sz w:val="16"/>
        <w:szCs w:val="16"/>
      </w:rPr>
      <w:t xml:space="preserve"> von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pPr>
    <w:r>
      <w:rPr>
        <w:color w:val="555555"/>
        <w:sz w:val="16"/>
        <w:szCs w:val="16"/>
      </w:rPr>
      <w:t xml:space="preserve">Windpotentiale — interner Leitfaden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78" w:sz="8" w:space="4"/>
      </w:pBdr>
      <w:spacing w:after="160" w:before="320"/>
      <w:outlineLvl w:val="0"/>
    </w:pPr>
    <w:rPr>
      <w:rFonts w:ascii="Arial" w:cs="Arial" w:eastAsia="Arial" w:hAnsi="Arial"/>
      <w:b/>
      <w:bCs/>
      <w:color w:val="0E4A50"/>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F6F78"/>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Windpotentiale auslegen, ermitteln und empfehlen</dc:title>
  <dc:creator>OFD-Tool · Windanalyse</dc:creator>
  <dc:description>Interner Wiki-Leitfaden zur Windanalyse des Tools</dc:description>
  <cp:lastModifiedBy>Un-named</cp:lastModifiedBy>
  <cp:revision>1</cp:revision>
  <dcterms:created xsi:type="dcterms:W3CDTF">2026-07-07T07:06:29.857Z</dcterms:created>
  <dcterms:modified xsi:type="dcterms:W3CDTF">2026-07-07T07:06:29.862Z</dcterms:modified>
</cp:coreProperties>
</file>

<file path=docProps/custom.xml><?xml version="1.0" encoding="utf-8"?>
<Properties xmlns="http://schemas.openxmlformats.org/officeDocument/2006/custom-properties" xmlns:vt="http://schemas.openxmlformats.org/officeDocument/2006/docPropsVTypes"/>
</file>