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1F4D78"/>
          <w:sz w:val="46"/>
        </w:rPr>
        <w:t>Informe breve: Pipeline CI/CD DevSecOps</w:t>
      </w:r>
    </w:p>
    <w:p>
      <w:pPr>
        <w:spacing w:after="280"/>
      </w:pPr>
      <w:r>
        <w:rPr>
          <w:rFonts w:ascii="Calibri" w:hAnsi="Calibri"/>
          <w:i/>
          <w:color w:val="667085"/>
          <w:sz w:val="24"/>
        </w:rPr>
        <w:t>Proyecto AnalytiCore - Arquitectura de Servicios en la Nube</w:t>
      </w:r>
    </w:p>
    <w:p>
      <w:pPr>
        <w:pStyle w:val="Heading1"/>
      </w:pPr>
      <w:r>
        <w:t>Objetivo del pipeline</w:t>
      </w:r>
    </w:p>
    <w:p>
      <w:pPr>
        <w:spacing w:before="0" w:after="160" w:line="264" w:lineRule="auto"/>
      </w:pPr>
      <w:r>
        <w:rPr>
          <w:rFonts w:ascii="Calibri" w:hAnsi="Calibri"/>
          <w:color w:val="243447"/>
          <w:sz w:val="21"/>
        </w:rPr>
        <w:t>El pipeline propuesto automatiza el recorrido desde un commit hasta producción para los servicios React, Python y Java. Su propósito es asegurar calidad, seguridad y despliegue independiente antes de publicar cambios en Render.</w:t>
      </w:r>
    </w:p>
    <w:p>
      <w:pPr>
        <w:pStyle w:val="Heading1"/>
      </w:pPr>
      <w:r>
        <w:t>Herramientas a utilizar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7128"/>
        <w:gridCol w:w="7128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Herramienta o grupo</w:t>
            </w:r>
          </w:p>
        </w:tc>
        <w:tc>
          <w:tcPr>
            <w:tcW w:type="dxa" w:w="110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Uso dentro del pipeline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GitHub y GitHub Actions</w:t>
            </w:r>
          </w:p>
        </w:tc>
        <w:tc>
          <w:tcPr>
            <w:tcW w:type="dxa" w:w="11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Repositorio y orquestador del pipeline. Detectan cambios por servicio y controlan la ejecución automática.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Calidad</w:t>
            </w:r>
          </w:p>
        </w:tc>
        <w:tc>
          <w:tcPr>
            <w:tcW w:type="dxa" w:w="11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ESLint y Vitest para React; Ruff y unittest para Python; Maven, JUnit y SpotBugs para Java.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Seguridad</w:t>
            </w:r>
          </w:p>
        </w:tc>
        <w:tc>
          <w:tcPr>
            <w:tcW w:type="dxa" w:w="11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Gitleaks para secretos; npm audit, pip-audit y OWASP Dependency-Check para dependencias; Trivy para imágenes.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Docker y GHCR</w:t>
            </w:r>
          </w:p>
        </w:tc>
        <w:tc>
          <w:tcPr>
            <w:tcW w:type="dxa" w:w="11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Docker construye imágenes por servicio y GitHub Container Registry conserva imágenes versionadas.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Render</w:t>
            </w:r>
          </w:p>
        </w:tc>
        <w:tc>
          <w:tcPr>
            <w:tcW w:type="dxa" w:w="11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Despliega servicios modificados en staging y producción, con comprobaciones de salud.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Pruebas de integración</w:t>
            </w:r>
          </w:p>
        </w:tc>
        <w:tc>
          <w:tcPr>
            <w:tcW w:type="dxa" w:w="11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Smoke tests: health checks y flujo POST /analyze seguido de GET /jobs/{id}.</w:t>
            </w:r>
          </w:p>
        </w:tc>
      </w:tr>
    </w:tbl>
    <w:p>
      <w:pPr>
        <w:pStyle w:val="Heading1"/>
      </w:pPr>
      <w:r>
        <w:t>Criterio de autonomía</w:t>
      </w:r>
    </w:p>
    <w:p>
      <w:pPr>
        <w:spacing w:before="0" w:after="0" w:line="264" w:lineRule="auto"/>
      </w:pPr>
      <w:r>
        <w:rPr>
          <w:rFonts w:ascii="Calibri" w:hAnsi="Calibri"/>
          <w:b/>
          <w:color w:val="243447"/>
          <w:sz w:val="21"/>
        </w:rPr>
        <w:t xml:space="preserve">Cada rama del BPMN se activa solo si cambió su servicio. </w:t>
      </w:r>
      <w:r>
        <w:rPr>
          <w:rFonts w:ascii="Calibri" w:hAnsi="Calibri"/>
          <w:color w:val="243447"/>
          <w:sz w:val="21"/>
        </w:rPr>
        <w:t>Por ello, una modificación exclusiva del frontend no obliga a reconstruir ni desplegar Python o Java. El flujo continúa a staging, requiere aprobación para producción y aplica rollback si la verificación final falla.</w:t>
      </w:r>
    </w:p>
    <w:p>
      <w:r>
        <w:br w:type="page"/>
      </w:r>
    </w:p>
    <w:p>
      <w:pPr>
        <w:pStyle w:val="Heading1"/>
        <w:spacing w:before="80"/>
      </w:pPr>
      <w:r>
        <w:t>Diagrama BPMN del flujo CI/CD</w:t>
      </w:r>
    </w:p>
    <w:p>
      <w:pPr>
        <w:spacing w:before="0" w:after="140" w:line="264" w:lineRule="auto"/>
      </w:pPr>
      <w:r>
        <w:rPr>
          <w:rFonts w:ascii="Calibri" w:hAnsi="Calibri"/>
          <w:color w:val="243447"/>
          <w:sz w:val="20"/>
        </w:rPr>
        <w:t>El diagrama representa la cadena completa: commit, validaciones, controles DevSecOps, construcción de imágenes, staging, aprobación y producción.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87968" cy="2911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diagram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291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/>
          <w:i/>
          <w:color w:val="667085"/>
          <w:sz w:val="18"/>
        </w:rPr>
        <w:t>Figura 1. Diagrama BPMN propuesto para el pipeline CI/CD DevSecOps de AnalytiCore.</w:t>
      </w:r>
    </w:p>
    <w:p>
      <w:pPr>
        <w:pStyle w:val="Heading1"/>
        <w:spacing w:before="60"/>
      </w:pPr>
      <w:r>
        <w:t>Lectura rápida</w:t>
      </w:r>
    </w:p>
    <w:p>
      <w:pPr>
        <w:spacing w:before="0" w:after="0" w:line="264" w:lineRule="auto"/>
      </w:pPr>
      <w:r>
        <w:rPr>
          <w:rFonts w:ascii="Calibri" w:hAnsi="Calibri"/>
          <w:color w:val="243447"/>
          <w:sz w:val="20"/>
        </w:rPr>
        <w:t>El flujo se detiene cuando calidad, seguridad o staging fallan. Solo las imágenes aprobadas se publican en GHCR y llegan a producción mediante una aprobación manual. Tras el despliegue, los health checks y la prueba funcional confirman el estado del sistema; ante un fallo, se restaura la imagen anterior.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20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Informe breve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667085"/>
        <w:sz w:val="17"/>
      </w:rPr>
      <w:t>AnalytiCore | Pipeline CI/CD DevSecOps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breve - Pipeline CI/CD DevSecOps de AnalytiCore</dc:title>
  <dc:subject>Herramientas y diagrama BPMN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