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钢筋评定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以分项工程涵台帽为例，钢筋评定需要提交的表格为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《浙路（ZP）106-1钢筋安装分项工程质量检验评定表附表》、《浙路（ZP）106(802)钢筋安装分项工程质量检验评定表》。</w:t>
      </w:r>
    </w:p>
    <w:p>
      <w:pPr>
        <w:numPr>
          <w:ilvl w:val="0"/>
          <w:numId w:val="2"/>
        </w:numPr>
        <w:spacing w:line="360" w:lineRule="auto"/>
        <w:ind w:firstLine="214" w:firstLineChars="100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《浙路（ZP）106-1钢筋安装分项工程质量检验评定表附表》所需填写的内容：</w:t>
      </w:r>
    </w:p>
    <w:p>
      <w:pPr>
        <w:numPr>
          <w:ilvl w:val="0"/>
          <w:numId w:val="0"/>
        </w:numPr>
        <w:spacing w:line="360" w:lineRule="auto"/>
        <w:ind w:firstLine="210" w:firstLineChars="100"/>
      </w:pPr>
      <w:r>
        <w:drawing>
          <wp:inline distT="0" distB="0" distL="114300" distR="114300">
            <wp:extent cx="5273675" cy="2456180"/>
            <wp:effectExtent l="9525" t="9525" r="203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6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154" w:firstLineChars="100"/>
        <w:jc w:val="center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  <w:t>浙路（ZP）106-1钢筋安装分项工程质量检验评定表附表</w:t>
      </w:r>
    </w:p>
    <w:p>
      <w:pPr>
        <w:numPr>
          <w:ilvl w:val="0"/>
          <w:numId w:val="0"/>
        </w:numPr>
        <w:spacing w:line="360" w:lineRule="auto"/>
        <w:ind w:firstLine="214" w:firstLineChars="100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①分项工程名称、工程部位等工程相关内容，从系统中自动获取（合同段和分项工程编号暂不填）；</w:t>
      </w:r>
    </w:p>
    <w:p>
      <w:pPr>
        <w:numPr>
          <w:ilvl w:val="0"/>
          <w:numId w:val="0"/>
        </w:numPr>
        <w:spacing w:line="360" w:lineRule="auto"/>
        <w:ind w:firstLine="214" w:firstLineChars="100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②表格内检查项目的实测偏差值数据，抓取自工序报验填报的《浙路（JS）107钢筋安装现场检测记录表》中对应检查项目的偏差值数据（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图中标记数据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default" w:ascii="宋体" w:hAnsi="宋体" w:eastAsia="宋体" w:cs="宋体"/>
          <w:i w:val="0"/>
          <w:iCs w:val="0"/>
          <w:caps w:val="0"/>
          <w:color w:val="auto"/>
          <w:spacing w:val="2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960" cy="3418840"/>
            <wp:effectExtent l="9525" t="9525" r="10795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8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  <w:t>浙路（JS）107钢筋安装现场检测记录表</w:t>
      </w:r>
    </w:p>
    <w:p>
      <w:pPr>
        <w:numPr>
          <w:ilvl w:val="0"/>
          <w:numId w:val="2"/>
        </w:numPr>
        <w:spacing w:line="360" w:lineRule="auto"/>
        <w:ind w:left="0" w:leftChars="0" w:firstLine="214" w:firstLineChars="100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《浙路（ZP）106(802)钢筋安装分项工程质量检验评定表》所需填写的内容：</w:t>
      </w:r>
    </w:p>
    <w:p>
      <w:pPr>
        <w:numPr>
          <w:ilvl w:val="0"/>
          <w:numId w:val="0"/>
        </w:numPr>
        <w:spacing w:line="360" w:lineRule="auto"/>
        <w:ind w:firstLine="210" w:firstLineChars="100"/>
      </w:pPr>
      <w:r>
        <w:drawing>
          <wp:inline distT="0" distB="0" distL="114300" distR="114300">
            <wp:extent cx="5267960" cy="2487930"/>
            <wp:effectExtent l="9525" t="9525" r="10795" b="171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7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154" w:firstLineChars="100"/>
        <w:jc w:val="center"/>
        <w:rPr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  <w:t>浙路（ZP）106(802)钢筋安装分项工程质量检验评定表</w:t>
      </w:r>
    </w:p>
    <w:p>
      <w:pPr>
        <w:numPr>
          <w:ilvl w:val="0"/>
          <w:numId w:val="0"/>
        </w:numPr>
        <w:spacing w:line="360" w:lineRule="auto"/>
        <w:ind w:firstLine="214" w:firstLineChars="100"/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①分项工程名称、工程部位等工程相关内容，从系统中自动获取；</w:t>
      </w:r>
    </w:p>
    <w:p>
      <w:pPr>
        <w:numPr>
          <w:ilvl w:val="0"/>
          <w:numId w:val="0"/>
        </w:numPr>
        <w:spacing w:line="360" w:lineRule="auto"/>
        <w:ind w:firstLine="214" w:firstLineChars="100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②表格内关键项目的实测偏差值数据，抓取已填写的《浙路（ZP）106-1钢筋安装分项工程质量检验评定表附表》中对应检查项目的偏差值数据，</w:t>
      </w:r>
    </w:p>
    <w:p>
      <w:pPr>
        <w:numPr>
          <w:ilvl w:val="0"/>
          <w:numId w:val="0"/>
        </w:numPr>
        <w:spacing w:line="360" w:lineRule="auto"/>
        <w:ind w:firstLine="210" w:firstLineChars="100"/>
        <w:jc w:val="both"/>
        <w:rPr>
          <w:rFonts w:hint="default" w:ascii="宋体" w:hAnsi="宋体" w:eastAsia="宋体" w:cs="宋体"/>
          <w:i w:val="0"/>
          <w:iCs w:val="0"/>
          <w:caps w:val="0"/>
          <w:color w:val="auto"/>
          <w:spacing w:val="2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2405" cy="2531110"/>
            <wp:effectExtent l="9525" t="9525" r="21590" b="196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154" w:firstLineChars="100"/>
        <w:jc w:val="center"/>
        <w:rPr>
          <w:rFonts w:hint="default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  <w:t>浙路（ZP）106-1钢筋安装分项工程质量检验评定表附表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③合格率，工序报验填报的《浙路（JS）107钢筋安装现场检测记录表》中对应检查项目的合格率（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图中标记数据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8595" cy="3502025"/>
            <wp:effectExtent l="9525" t="9525" r="10160" b="2413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15"/>
          <w:szCs w:val="15"/>
          <w:shd w:val="clear" w:fill="FFFFFF"/>
          <w:lang w:val="en-US" w:eastAsia="zh-CN" w:bidi="ar"/>
        </w:rPr>
        <w:t>浙路（JS）107钢筋安装现场检测记录表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④合格判定，根据表中合格率进行判定，分项工程合格率不低于80%为合格，低于80%为不合格；关键项目的合格率不低于95%为合格（机电工程为100%）。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  <w:t>⑤质量保证资料，根据工序报验该构件工序填报所需填写的资料填写情况判定，资料均已填写，即判定为资料齐全。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2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230" cy="3641725"/>
            <wp:effectExtent l="9525" t="9525" r="9525" b="2159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1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⑥实测项目，外观质量，质量保证资料均评定合格后，该钢筋分项工程质量等级评定合格，评定完成。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536825"/>
            <wp:effectExtent l="9525" t="9525" r="12700" b="139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6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4B0AD"/>
    <w:multiLevelType w:val="singleLevel"/>
    <w:tmpl w:val="8494B0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C61DCC"/>
    <w:multiLevelType w:val="singleLevel"/>
    <w:tmpl w:val="9AC61D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Mjk2YjRhYmNhYjY5NDQ1MzdmNDQ0YWFjZjM4M2YifQ=="/>
  </w:docVars>
  <w:rsids>
    <w:rsidRoot w:val="00000000"/>
    <w:rsid w:val="281B2C24"/>
    <w:rsid w:val="5F813720"/>
    <w:rsid w:val="6FE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next w:val="3"/>
    <w:semiHidden/>
    <w:unhideWhenUsed/>
    <w:qFormat/>
    <w:uiPriority w:val="0"/>
    <w:pPr>
      <w:spacing w:after="120"/>
      <w:ind w:left="420" w:leftChars="200"/>
    </w:pPr>
  </w:style>
  <w:style w:type="paragraph" w:styleId="3">
    <w:name w:val="envelope return"/>
    <w:basedOn w:val="1"/>
    <w:autoRedefine/>
    <w:qFormat/>
    <w:uiPriority w:val="0"/>
    <w:pPr>
      <w:snapToGrid w:val="0"/>
    </w:pPr>
    <w:rPr>
      <w:rFonts w:ascii="Arial" w:hAnsi="Arial"/>
    </w:rPr>
  </w:style>
  <w:style w:type="paragraph" w:styleId="4">
    <w:name w:val="Body Text First Indent 2"/>
    <w:basedOn w:val="2"/>
    <w:next w:val="1"/>
    <w:autoRedefine/>
    <w:unhideWhenUsed/>
    <w:qFormat/>
    <w:uiPriority w:val="0"/>
    <w:pPr>
      <w:adjustRightInd/>
      <w:spacing w:line="240" w:lineRule="auto"/>
      <w:ind w:firstLine="420"/>
      <w:textAlignment w:val="auto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2024-01-11T02:06:00Z</dcterms:created>
  <dc:creator>Administrator</dc:creator>
  <cp:lastModifiedBy>KAI</cp:lastModifiedBy>
  <dcterms:modified xsi:type="dcterms:W3CDTF">2024-01-11T06:39:27Z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ED40839719654DFD876496BA929BDD2C_12</vt:lpwstr>
  </property>
</Properties>
</file>