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DC0779">
      <w:pPr>
        <w:pStyle w:val="2"/>
      </w:pPr>
      <w:bookmarkStart w:id="0" w:name="房价预测分析报告"/>
      <w:r>
        <w:t>房价预测分析报告</w:t>
      </w:r>
    </w:p>
    <w:p w14:paraId="50F8D7EF">
      <w:pPr>
        <w:pStyle w:val="5"/>
      </w:pPr>
      <w:bookmarkStart w:id="1" w:name="数据概览"/>
      <w:r>
        <w:t>数据概览</w:t>
      </w:r>
    </w:p>
    <w:p w14:paraId="59AB6DB4">
      <w:pPr>
        <w:pStyle w:val="4"/>
        <w:ind w:firstLine="560"/>
      </w:pPr>
      <w:r>
        <w:t>本次分析使用的数据集分为训练集和测试集。训练集包含1460条记录和81个特征，而测试集包含1459条记录和80个特征。训练集中的额外特征</w:t>
      </w:r>
      <w:r>
        <w:rPr>
          <w:rStyle w:val="37"/>
        </w:rPr>
        <w:t>SalePrice</w:t>
      </w:r>
      <w:r>
        <w:t>是目标变量，用于表示房屋价格。</w:t>
      </w:r>
    </w:p>
    <w:p w14:paraId="249E7A2A">
      <w:pPr>
        <w:pStyle w:val="3"/>
        <w:ind w:firstLine="560"/>
      </w:pPr>
      <w:r>
        <w:t>数据集中的特征可以大致分为数值特征和类别特征，涵盖了房屋的各个方面，如房屋的整体质量(</w:t>
      </w:r>
      <w:r>
        <w:rPr>
          <w:rStyle w:val="37"/>
        </w:rPr>
        <w:t>OverallQual</w:t>
      </w:r>
      <w:r>
        <w:t>)、居住面积(</w:t>
      </w:r>
      <w:r>
        <w:rPr>
          <w:rStyle w:val="37"/>
        </w:rPr>
        <w:t>GrLivArea</w:t>
      </w:r>
      <w:r>
        <w:t>)、车库容量(</w:t>
      </w:r>
      <w:r>
        <w:rPr>
          <w:rStyle w:val="37"/>
        </w:rPr>
        <w:t>GarageCars</w:t>
      </w:r>
      <w:r>
        <w:t>)等。训练集和测试集的基本结构提供了全面的信息，方便进行更深入的分析。</w:t>
      </w:r>
    </w:p>
    <w:bookmarkEnd w:id="1"/>
    <w:p w14:paraId="588DC5AD">
      <w:pPr>
        <w:pStyle w:val="5"/>
      </w:pPr>
      <w:bookmarkStart w:id="2" w:name="缺失值分析"/>
      <w:r>
        <w:t>缺失值分析</w:t>
      </w:r>
    </w:p>
    <w:p w14:paraId="70C4EC40">
      <w:pPr>
        <w:pStyle w:val="4"/>
        <w:ind w:firstLine="560"/>
      </w:pPr>
      <w:r>
        <w:t>通过对训练集和测试集进行缺失值分析，发现一些特征存在较多的缺失值。以下是缺失值可视化结果：</w:t>
      </w:r>
    </w:p>
    <w:p w14:paraId="0D9B3CE1">
      <w:pPr>
        <w:pStyle w:val="3"/>
        <w:ind w:firstLine="0" w:firstLineChars="0"/>
        <w:jc w:val="center"/>
      </w:pPr>
      <w:r>
        <w:drawing>
          <wp:inline distT="0" distB="0" distL="0" distR="0">
            <wp:extent cx="4511040" cy="3307080"/>
            <wp:effectExtent l="0" t="0" r="3810" b="7620"/>
            <wp:docPr id="22" name="Picture" descr="训练集缺失值"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训练集缺失值" title="fig:"/>
                    <pic:cNvPicPr>
                      <a:picLocks noChangeAspect="1" noChangeArrowheads="1"/>
                    </pic:cNvPicPr>
                  </pic:nvPicPr>
                  <pic:blipFill>
                    <a:blip r:embed="rId7"/>
                    <a:stretch>
                      <a:fillRect/>
                    </a:stretch>
                  </pic:blipFill>
                  <pic:spPr>
                    <a:xfrm>
                      <a:off x="0" y="0"/>
                      <a:ext cx="4511125" cy="3307142"/>
                    </a:xfrm>
                    <a:prstGeom prst="rect">
                      <a:avLst/>
                    </a:prstGeom>
                    <a:noFill/>
                    <a:ln w="9525">
                      <a:noFill/>
                    </a:ln>
                  </pic:spPr>
                </pic:pic>
              </a:graphicData>
            </a:graphic>
          </wp:inline>
        </w:drawing>
      </w:r>
    </w:p>
    <w:p w14:paraId="4B4675D6">
      <w:pPr>
        <w:pStyle w:val="4"/>
        <w:ind w:firstLine="0" w:firstLineChars="0"/>
        <w:jc w:val="center"/>
      </w:pPr>
      <w:r>
        <w:drawing>
          <wp:inline distT="0" distB="0" distL="0" distR="0">
            <wp:extent cx="4754880" cy="3749040"/>
            <wp:effectExtent l="0" t="0" r="7620" b="3810"/>
            <wp:docPr id="25" name="Picture" descr="测试集缺失值"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测试集缺失值" title="fig:"/>
                    <pic:cNvPicPr>
                      <a:picLocks noChangeAspect="1" noChangeArrowheads="1"/>
                    </pic:cNvPicPr>
                  </pic:nvPicPr>
                  <pic:blipFill>
                    <a:blip r:embed="rId8"/>
                    <a:stretch>
                      <a:fillRect/>
                    </a:stretch>
                  </pic:blipFill>
                  <pic:spPr>
                    <a:xfrm>
                      <a:off x="0" y="0"/>
                      <a:ext cx="4754977" cy="3749116"/>
                    </a:xfrm>
                    <a:prstGeom prst="rect">
                      <a:avLst/>
                    </a:prstGeom>
                    <a:noFill/>
                    <a:ln w="9525">
                      <a:noFill/>
                    </a:ln>
                  </pic:spPr>
                </pic:pic>
              </a:graphicData>
            </a:graphic>
          </wp:inline>
        </w:drawing>
      </w:r>
    </w:p>
    <w:p w14:paraId="02132FAD">
      <w:pPr>
        <w:pStyle w:val="3"/>
        <w:ind w:firstLine="560"/>
      </w:pPr>
      <w:r>
        <w:t>在训练集中，</w:t>
      </w:r>
      <w:r>
        <w:rPr>
          <w:rStyle w:val="37"/>
        </w:rPr>
        <w:t>PoolQC</w:t>
      </w:r>
      <w:r>
        <w:t>（游泳池质量）、</w:t>
      </w:r>
      <w:r>
        <w:rPr>
          <w:rStyle w:val="37"/>
        </w:rPr>
        <w:t>MiscFeature</w:t>
      </w:r>
      <w:r>
        <w:t>（其他附加功能）、</w:t>
      </w:r>
      <w:r>
        <w:rPr>
          <w:rStyle w:val="37"/>
        </w:rPr>
        <w:t>Alley</w:t>
      </w:r>
      <w:r>
        <w:t>（巷道类型）等特征的缺失值比例较高。这些特征的缺失值可能是因为并非所有房屋都有这些特征，从而导致数据中缺失值较多。</w:t>
      </w:r>
    </w:p>
    <w:p w14:paraId="18A8F33B">
      <w:pPr>
        <w:pStyle w:val="3"/>
        <w:ind w:firstLine="560"/>
      </w:pPr>
      <w:r>
        <w:t>在处理这些缺失值时，对于缺失值比例高且不重要的特征，可以考虑删除该特征。而对于重要性较高的特征，可以使用均值、中位数或最频繁值进行填充，具体选择应根据特征的分布和业务需求来决定。对于类别特征，可以使用众数填充或引入新的类别“缺失”来处理缺失值。</w:t>
      </w:r>
    </w:p>
    <w:p w14:paraId="27E41D9F">
      <w:pPr>
        <w:spacing w:after="200" w:line="240" w:lineRule="auto"/>
        <w:rPr>
          <w:rFonts w:hint="eastAsia"/>
          <w:lang w:eastAsia="zh-CN"/>
        </w:rPr>
      </w:pPr>
      <w:r>
        <w:br w:type="page"/>
      </w:r>
    </w:p>
    <w:bookmarkEnd w:id="2"/>
    <w:p w14:paraId="552F0E05">
      <w:pPr>
        <w:pStyle w:val="5"/>
      </w:pPr>
      <w:bookmarkStart w:id="3" w:name="数据预处理"/>
      <w:r>
        <w:t>数据预处理</w:t>
      </w:r>
    </w:p>
    <w:p w14:paraId="3063BDE5">
      <w:pPr>
        <w:pStyle w:val="6"/>
      </w:pPr>
      <w:bookmarkStart w:id="4" w:name="初步探索"/>
      <w:r>
        <w:t>初步探索</w:t>
      </w:r>
    </w:p>
    <w:p w14:paraId="18C4DAAB">
      <w:pPr>
        <w:numPr>
          <w:ilvl w:val="0"/>
          <w:numId w:val="2"/>
        </w:numPr>
        <w:rPr>
          <w:lang w:eastAsia="zh-CN"/>
        </w:rPr>
      </w:pPr>
      <w:r>
        <w:rPr>
          <w:b/>
          <w:bCs/>
          <w:lang w:eastAsia="zh-CN"/>
        </w:rPr>
        <w:t>数据概览</w:t>
      </w:r>
      <w:r>
        <w:rPr>
          <w:lang w:eastAsia="zh-CN"/>
        </w:rPr>
        <w:t>：首先进行数据的初步统计分析，了解各特征的分布、缺失值情况及潜在的异常值。</w:t>
      </w:r>
    </w:p>
    <w:p w14:paraId="37CF9785">
      <w:pPr>
        <w:numPr>
          <w:ilvl w:val="0"/>
          <w:numId w:val="2"/>
        </w:numPr>
        <w:rPr>
          <w:lang w:eastAsia="zh-CN"/>
        </w:rPr>
      </w:pPr>
      <w:r>
        <w:rPr>
          <w:b/>
          <w:bCs/>
          <w:lang w:eastAsia="zh-CN"/>
        </w:rPr>
        <w:t>特征类型确认</w:t>
      </w:r>
      <w:r>
        <w:rPr>
          <w:lang w:eastAsia="zh-CN"/>
        </w:rPr>
        <w:t>：区分数值型与类别型特征，为后续处理做准备。</w:t>
      </w:r>
    </w:p>
    <w:bookmarkEnd w:id="4"/>
    <w:p w14:paraId="1C2A9C73">
      <w:pPr>
        <w:pStyle w:val="6"/>
      </w:pPr>
      <w:bookmarkStart w:id="5" w:name="数据清洗"/>
      <w:r>
        <w:t>数据清洗</w:t>
      </w:r>
    </w:p>
    <w:p w14:paraId="1ACF3D9E">
      <w:pPr>
        <w:numPr>
          <w:ilvl w:val="0"/>
          <w:numId w:val="2"/>
        </w:numPr>
        <w:rPr>
          <w:lang w:eastAsia="zh-CN"/>
        </w:rPr>
      </w:pPr>
      <w:r>
        <w:rPr>
          <w:b/>
          <w:bCs/>
          <w:lang w:eastAsia="zh-CN"/>
        </w:rPr>
        <w:t>缺失值处理</w:t>
      </w:r>
      <w:r>
        <w:rPr>
          <w:lang w:eastAsia="zh-CN"/>
        </w:rPr>
        <w:t>：对于含有缺失值的记录，根据特征的性质，采用合适的策略处理，如均值填充对于连续数值特征。</w:t>
      </w:r>
    </w:p>
    <w:p w14:paraId="672D68EA">
      <w:pPr>
        <w:numPr>
          <w:ilvl w:val="0"/>
          <w:numId w:val="2"/>
        </w:numPr>
        <w:rPr>
          <w:lang w:eastAsia="zh-CN"/>
        </w:rPr>
      </w:pPr>
      <w:r>
        <w:rPr>
          <w:b/>
          <w:bCs/>
          <w:lang w:eastAsia="zh-CN"/>
        </w:rPr>
        <w:t>异常值检测与处理</w:t>
      </w:r>
      <w:r>
        <w:rPr>
          <w:lang w:eastAsia="zh-CN"/>
        </w:rPr>
        <w:t>：利用箱线图等方法识别并适当处理数据集中的极端值。</w:t>
      </w:r>
    </w:p>
    <w:bookmarkEnd w:id="5"/>
    <w:p w14:paraId="3AB3C56C">
      <w:pPr>
        <w:pStyle w:val="6"/>
      </w:pPr>
      <w:bookmarkStart w:id="6" w:name="数值特征处理"/>
      <w:r>
        <w:t>数值特征处理</w:t>
      </w:r>
    </w:p>
    <w:p w14:paraId="6F44DF85">
      <w:pPr>
        <w:numPr>
          <w:ilvl w:val="0"/>
          <w:numId w:val="2"/>
        </w:numPr>
        <w:rPr>
          <w:lang w:eastAsia="zh-CN"/>
        </w:rPr>
      </w:pPr>
      <w:r>
        <w:rPr>
          <w:b/>
          <w:bCs/>
          <w:lang w:eastAsia="zh-CN"/>
        </w:rPr>
        <w:t>偏态修正</w:t>
      </w:r>
      <w:r>
        <w:rPr>
          <w:lang w:eastAsia="zh-CN"/>
        </w:rPr>
        <w:t xml:space="preserve">：对于偏斜分布的数值特征，采用对数变换 </w:t>
      </w:r>
      <w:r>
        <w:rPr>
          <w:rStyle w:val="37"/>
        </w:rPr>
        <w:t>X' = log(X + 1)</w:t>
      </w:r>
      <w:r>
        <w:rPr>
          <w:lang w:eastAsia="zh-CN"/>
        </w:rPr>
        <w:t>，以减少长尾效应，使分布更接近正态分布。</w:t>
      </w:r>
    </w:p>
    <w:bookmarkEnd w:id="6"/>
    <w:p w14:paraId="13C34213">
      <w:pPr>
        <w:pStyle w:val="6"/>
      </w:pPr>
      <w:bookmarkStart w:id="7" w:name="类别特征编码"/>
      <w:r>
        <w:t>类别特征编码</w:t>
      </w:r>
    </w:p>
    <w:p w14:paraId="07870C1D">
      <w:pPr>
        <w:numPr>
          <w:ilvl w:val="0"/>
          <w:numId w:val="2"/>
        </w:numPr>
        <w:rPr>
          <w:lang w:eastAsia="zh-CN"/>
        </w:rPr>
      </w:pPr>
      <w:r>
        <w:rPr>
          <w:b/>
          <w:bCs/>
          <w:lang w:eastAsia="zh-CN"/>
        </w:rPr>
        <w:t>One-Hot编码</w:t>
      </w:r>
      <w:r>
        <w:rPr>
          <w:lang w:eastAsia="zh-CN"/>
        </w:rPr>
        <w:t>：将类别特征转换为一系列二进制特征，便于模型理解和计算。</w:t>
      </w:r>
    </w:p>
    <w:bookmarkEnd w:id="7"/>
    <w:p w14:paraId="6C5F347A">
      <w:pPr>
        <w:pStyle w:val="6"/>
      </w:pPr>
      <w:bookmarkStart w:id="8" w:name="特征标准化"/>
      <w:r>
        <w:t>特征标准化</w:t>
      </w:r>
    </w:p>
    <w:p w14:paraId="3EA5D2F5">
      <w:pPr>
        <w:numPr>
          <w:ilvl w:val="0"/>
          <w:numId w:val="2"/>
        </w:numPr>
      </w:pPr>
      <w:r>
        <w:rPr>
          <w:b/>
          <w:bCs/>
        </w:rPr>
        <w:t>标准化处理</w:t>
      </w:r>
      <w:r>
        <w:t>：利用</w:t>
      </w:r>
      <w:r>
        <w:rPr>
          <w:rStyle w:val="37"/>
        </w:rPr>
        <w:t>StandardScaler</w:t>
      </w:r>
      <w:r>
        <w:t>，将数值特征缩放至同一尺度，公式为</w:t>
      </w:r>
      <w:r>
        <w:rPr>
          <w:rStyle w:val="37"/>
        </w:rPr>
        <w:t>Z = (X - μ) / σ</w:t>
      </w:r>
      <w:r>
        <w:t>，其中μ是均值，σ是标准差。</w:t>
      </w:r>
    </w:p>
    <w:bookmarkEnd w:id="3"/>
    <w:bookmarkEnd w:id="8"/>
    <w:p w14:paraId="24F61C30">
      <w:pPr>
        <w:pStyle w:val="5"/>
      </w:pPr>
      <w:bookmarkStart w:id="9" w:name="数值特征分析"/>
      <w:r>
        <w:t>数值特征分析</w:t>
      </w:r>
    </w:p>
    <w:p w14:paraId="5A194D01">
      <w:pPr>
        <w:pStyle w:val="4"/>
        <w:ind w:firstLine="560"/>
      </w:pPr>
      <w:r>
        <w:t>本文选择了一些重要的数值特征进行详细分析，包括</w:t>
      </w:r>
      <w:r>
        <w:rPr>
          <w:rStyle w:val="37"/>
        </w:rPr>
        <w:t>LotArea</w:t>
      </w:r>
      <w:r>
        <w:t>（地块面积）、</w:t>
      </w:r>
      <w:r>
        <w:rPr>
          <w:rStyle w:val="37"/>
        </w:rPr>
        <w:t>GrLivArea</w:t>
      </w:r>
      <w:r>
        <w:t>（居住面积）、</w:t>
      </w:r>
      <w:r>
        <w:rPr>
          <w:rStyle w:val="37"/>
        </w:rPr>
        <w:t>TotalBsmtSF</w:t>
      </w:r>
      <w:r>
        <w:t>（地下室面积）、</w:t>
      </w:r>
      <w:r>
        <w:rPr>
          <w:rStyle w:val="37"/>
        </w:rPr>
        <w:t>1stFlrSF</w:t>
      </w:r>
      <w:r>
        <w:t>（一楼面积）和</w:t>
      </w:r>
      <w:r>
        <w:rPr>
          <w:rStyle w:val="37"/>
        </w:rPr>
        <w:t>GarageArea</w:t>
      </w:r>
      <w:r>
        <w:t>（车库面积）。以下是这些特征的箱线图：</w:t>
      </w:r>
    </w:p>
    <w:p w14:paraId="5CBDA7FD">
      <w:pPr>
        <w:pStyle w:val="3"/>
        <w:ind w:firstLine="0" w:firstLineChars="0"/>
        <w:jc w:val="center"/>
      </w:pPr>
      <w:r>
        <w:drawing>
          <wp:inline distT="0" distB="0" distL="0" distR="0">
            <wp:extent cx="5270500" cy="4208780"/>
            <wp:effectExtent l="0" t="0" r="6350" b="1270"/>
            <wp:docPr id="35" name="Picture" descr="数值特征箱线图"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数值特征箱线图" title="fig:"/>
                    <pic:cNvPicPr>
                      <a:picLocks noChangeAspect="1" noChangeArrowheads="1"/>
                    </pic:cNvPicPr>
                  </pic:nvPicPr>
                  <pic:blipFill>
                    <a:blip r:embed="rId9"/>
                    <a:stretch>
                      <a:fillRect/>
                    </a:stretch>
                  </pic:blipFill>
                  <pic:spPr>
                    <a:xfrm>
                      <a:off x="0" y="0"/>
                      <a:ext cx="5270500" cy="4209325"/>
                    </a:xfrm>
                    <a:prstGeom prst="rect">
                      <a:avLst/>
                    </a:prstGeom>
                    <a:noFill/>
                    <a:ln w="9525">
                      <a:noFill/>
                    </a:ln>
                  </pic:spPr>
                </pic:pic>
              </a:graphicData>
            </a:graphic>
          </wp:inline>
        </w:drawing>
      </w:r>
    </w:p>
    <w:p w14:paraId="3D1EFCE9">
      <w:pPr>
        <w:pStyle w:val="3"/>
        <w:ind w:firstLine="560"/>
      </w:pPr>
      <w:r>
        <w:t>从箱线图中可以看出，</w:t>
      </w:r>
      <w:r>
        <w:rPr>
          <w:rStyle w:val="37"/>
        </w:rPr>
        <w:t>LotArea</w:t>
      </w:r>
      <w:r>
        <w:t>和</w:t>
      </w:r>
      <w:r>
        <w:rPr>
          <w:rStyle w:val="37"/>
        </w:rPr>
        <w:t>GrLivArea</w:t>
      </w:r>
      <w:r>
        <w:t>存在较多离群值，这些离群值可能会影响模型的性能。而</w:t>
      </w:r>
      <w:r>
        <w:rPr>
          <w:rStyle w:val="37"/>
        </w:rPr>
        <w:t>TotalBsmtSF</w:t>
      </w:r>
      <w:r>
        <w:t>、</w:t>
      </w:r>
      <w:r>
        <w:rPr>
          <w:rStyle w:val="37"/>
        </w:rPr>
        <w:t>1stFlrSF</w:t>
      </w:r>
      <w:r>
        <w:t>和</w:t>
      </w:r>
      <w:r>
        <w:rPr>
          <w:rStyle w:val="37"/>
        </w:rPr>
        <w:t>GarageArea</w:t>
      </w:r>
      <w:r>
        <w:t>的分布较为集中，但也存在一些离群值，这些离群值需要进一步处理以提升模型性能。</w:t>
      </w:r>
    </w:p>
    <w:p w14:paraId="3DB782DA">
      <w:pPr>
        <w:pStyle w:val="3"/>
        <w:ind w:firstLine="560"/>
      </w:pPr>
      <w:r>
        <w:t>此外，通过数值特征的散点图矩阵，可以观察到各数值特征之间的关系以及与目标变量</w:t>
      </w:r>
      <w:r>
        <w:rPr>
          <w:rStyle w:val="37"/>
        </w:rPr>
        <w:t>SalePrice</w:t>
      </w:r>
      <w:r>
        <w:t>的关系：</w:t>
      </w:r>
    </w:p>
    <w:p w14:paraId="28B95043">
      <w:pPr>
        <w:pStyle w:val="3"/>
        <w:ind w:firstLine="0" w:firstLineChars="0"/>
        <w:jc w:val="center"/>
      </w:pPr>
      <w:r>
        <w:drawing>
          <wp:inline distT="0" distB="0" distL="0" distR="0">
            <wp:extent cx="5270500" cy="5455920"/>
            <wp:effectExtent l="0" t="0" r="0" b="0"/>
            <wp:docPr id="38" name="Picture" descr="散点图矩阵"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散点图矩阵" title="fig:"/>
                    <pic:cNvPicPr>
                      <a:picLocks noChangeAspect="1" noChangeArrowheads="1"/>
                    </pic:cNvPicPr>
                  </pic:nvPicPr>
                  <pic:blipFill>
                    <a:blip r:embed="rId10"/>
                    <a:stretch>
                      <a:fillRect/>
                    </a:stretch>
                  </pic:blipFill>
                  <pic:spPr>
                    <a:xfrm>
                      <a:off x="0" y="0"/>
                      <a:ext cx="5270500" cy="5456181"/>
                    </a:xfrm>
                    <a:prstGeom prst="rect">
                      <a:avLst/>
                    </a:prstGeom>
                    <a:noFill/>
                    <a:ln w="9525">
                      <a:noFill/>
                    </a:ln>
                  </pic:spPr>
                </pic:pic>
              </a:graphicData>
            </a:graphic>
          </wp:inline>
        </w:drawing>
      </w:r>
    </w:p>
    <w:p w14:paraId="18F41406">
      <w:pPr>
        <w:pStyle w:val="3"/>
        <w:ind w:firstLine="560"/>
      </w:pPr>
      <w:r>
        <w:t>从散点图矩阵可以看出，部分特征之间存在较强的线性关系，如</w:t>
      </w:r>
      <w:r>
        <w:rPr>
          <w:rStyle w:val="37"/>
        </w:rPr>
        <w:t>GrLivArea</w:t>
      </w:r>
      <w:r>
        <w:t>和</w:t>
      </w:r>
      <w:r>
        <w:rPr>
          <w:rStyle w:val="37"/>
        </w:rPr>
        <w:t>TotalBsmtSF</w:t>
      </w:r>
      <w:r>
        <w:t>。目标变量</w:t>
      </w:r>
      <w:r>
        <w:rPr>
          <w:rStyle w:val="37"/>
        </w:rPr>
        <w:t>SalePrice</w:t>
      </w:r>
      <w:r>
        <w:t>与数值特征之间也存在一定的相关性，这为进一步的分析提供了基础。</w:t>
      </w:r>
    </w:p>
    <w:bookmarkEnd w:id="9"/>
    <w:p w14:paraId="0EDD039E">
      <w:pPr>
        <w:pStyle w:val="5"/>
      </w:pPr>
      <w:bookmarkStart w:id="10" w:name="类别特征分析"/>
      <w:r>
        <w:t>类别特征分析</w:t>
      </w:r>
    </w:p>
    <w:p w14:paraId="7656652E">
      <w:pPr>
        <w:pStyle w:val="4"/>
        <w:ind w:firstLine="560"/>
      </w:pPr>
      <w:r>
        <w:t>本文选取了几个重要的类别特征进行分析，包括</w:t>
      </w:r>
      <w:r>
        <w:rPr>
          <w:rStyle w:val="37"/>
        </w:rPr>
        <w:t>MSZoning</w:t>
      </w:r>
      <w:r>
        <w:t>（分类区划）、</w:t>
      </w:r>
      <w:r>
        <w:rPr>
          <w:rStyle w:val="37"/>
        </w:rPr>
        <w:t>Street</w:t>
      </w:r>
      <w:r>
        <w:t>（街道类型）、</w:t>
      </w:r>
      <w:r>
        <w:rPr>
          <w:rStyle w:val="37"/>
        </w:rPr>
        <w:t>LotShape</w:t>
      </w:r>
      <w:r>
        <w:t>（地块形状）、</w:t>
      </w:r>
      <w:r>
        <w:rPr>
          <w:rStyle w:val="37"/>
        </w:rPr>
        <w:t>LandContour</w:t>
      </w:r>
      <w:r>
        <w:t>（土地轮廓）和</w:t>
      </w:r>
      <w:r>
        <w:rPr>
          <w:rStyle w:val="37"/>
        </w:rPr>
        <w:t>Neighborhood</w:t>
      </w:r>
      <w:r>
        <w:t>（邻居情况）。以下是这些特征的条形图：</w:t>
      </w:r>
    </w:p>
    <w:p w14:paraId="01E0D0DD">
      <w:pPr>
        <w:pStyle w:val="3"/>
        <w:ind w:firstLine="0" w:firstLineChars="0"/>
        <w:jc w:val="center"/>
      </w:pPr>
      <w:r>
        <w:drawing>
          <wp:inline distT="0" distB="0" distL="0" distR="0">
            <wp:extent cx="5270500" cy="4208780"/>
            <wp:effectExtent l="0" t="0" r="0" b="0"/>
            <wp:docPr id="42" name="Picture" descr="类别特征频数"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类别特征频数" title="fig:"/>
                    <pic:cNvPicPr>
                      <a:picLocks noChangeAspect="1" noChangeArrowheads="1"/>
                    </pic:cNvPicPr>
                  </pic:nvPicPr>
                  <pic:blipFill>
                    <a:blip r:embed="rId11"/>
                    <a:stretch>
                      <a:fillRect/>
                    </a:stretch>
                  </pic:blipFill>
                  <pic:spPr>
                    <a:xfrm>
                      <a:off x="0" y="0"/>
                      <a:ext cx="5270500" cy="4209325"/>
                    </a:xfrm>
                    <a:prstGeom prst="rect">
                      <a:avLst/>
                    </a:prstGeom>
                    <a:noFill/>
                    <a:ln w="9525">
                      <a:noFill/>
                    </a:ln>
                  </pic:spPr>
                </pic:pic>
              </a:graphicData>
            </a:graphic>
          </wp:inline>
        </w:drawing>
      </w:r>
    </w:p>
    <w:p w14:paraId="14289C54">
      <w:pPr>
        <w:pStyle w:val="3"/>
        <w:ind w:firstLine="560"/>
      </w:pPr>
      <w:r>
        <w:t>通过条形图可以看出，</w:t>
      </w:r>
      <w:r>
        <w:rPr>
          <w:rStyle w:val="37"/>
        </w:rPr>
        <w:t>MSZoning</w:t>
      </w:r>
      <w:r>
        <w:t>以</w:t>
      </w:r>
      <w:r>
        <w:rPr>
          <w:rStyle w:val="37"/>
        </w:rPr>
        <w:t>RL</w:t>
      </w:r>
      <w:r>
        <w:t>（住宅用地）为主，</w:t>
      </w:r>
      <w:r>
        <w:rPr>
          <w:rStyle w:val="37"/>
        </w:rPr>
        <w:t>Street</w:t>
      </w:r>
      <w:r>
        <w:t>中</w:t>
      </w:r>
      <w:r>
        <w:rPr>
          <w:rStyle w:val="37"/>
        </w:rPr>
        <w:t>Pave</w:t>
      </w:r>
      <w:r>
        <w:t>（铺设道路）占绝大多数，而</w:t>
      </w:r>
      <w:r>
        <w:rPr>
          <w:rStyle w:val="37"/>
        </w:rPr>
        <w:t>LotShape</w:t>
      </w:r>
      <w:r>
        <w:t>和</w:t>
      </w:r>
      <w:r>
        <w:rPr>
          <w:rStyle w:val="37"/>
        </w:rPr>
        <w:t>LandContour</w:t>
      </w:r>
      <w:r>
        <w:t>也有较明显的类别分布。</w:t>
      </w:r>
      <w:r>
        <w:rPr>
          <w:rStyle w:val="37"/>
        </w:rPr>
        <w:t>Neighborhood</w:t>
      </w:r>
      <w:r>
        <w:t>中特定社区如</w:t>
      </w:r>
      <w:r>
        <w:rPr>
          <w:rStyle w:val="37"/>
        </w:rPr>
        <w:t>NAmes</w:t>
      </w:r>
      <w:r>
        <w:t>、</w:t>
      </w:r>
      <w:r>
        <w:rPr>
          <w:rStyle w:val="37"/>
        </w:rPr>
        <w:t>CollgCr</w:t>
      </w:r>
      <w:r>
        <w:t>的房屋数量较多。这些类别特征的频数分布为后续的分析提供了参考，帮助了解数据的总体分布情况。</w:t>
      </w:r>
    </w:p>
    <w:bookmarkEnd w:id="10"/>
    <w:p w14:paraId="1E879DBD">
      <w:pPr>
        <w:pStyle w:val="5"/>
      </w:pPr>
      <w:bookmarkStart w:id="11" w:name="目标变量分析"/>
      <w:r>
        <w:t>目标变量分析</w:t>
      </w:r>
    </w:p>
    <w:p w14:paraId="361AB4FD">
      <w:pPr>
        <w:pStyle w:val="4"/>
        <w:ind w:firstLine="420"/>
      </w:pPr>
      <w:r>
        <w:rPr>
          <w:rStyle w:val="37"/>
        </w:rPr>
        <w:t>SalePrice</w:t>
      </w:r>
      <w:r>
        <w:t>是要预测的目标变量，其分布情况如下：</w:t>
      </w:r>
    </w:p>
    <w:p w14:paraId="578CB4A7">
      <w:pPr>
        <w:pStyle w:val="3"/>
        <w:ind w:firstLine="0" w:firstLineChars="0"/>
      </w:pPr>
      <w:r>
        <w:drawing>
          <wp:inline distT="0" distB="0" distL="0" distR="0">
            <wp:extent cx="5270500" cy="3878580"/>
            <wp:effectExtent l="0" t="0" r="0" b="0"/>
            <wp:docPr id="46" name="Picture" descr="SalePrice分布"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descr="SalePrice分布" title="fig:"/>
                    <pic:cNvPicPr>
                      <a:picLocks noChangeAspect="1" noChangeArrowheads="1"/>
                    </pic:cNvPicPr>
                  </pic:nvPicPr>
                  <pic:blipFill>
                    <a:blip r:embed="rId12"/>
                    <a:stretch>
                      <a:fillRect/>
                    </a:stretch>
                  </pic:blipFill>
                  <pic:spPr>
                    <a:xfrm>
                      <a:off x="0" y="0"/>
                      <a:ext cx="5270500" cy="3878921"/>
                    </a:xfrm>
                    <a:prstGeom prst="rect">
                      <a:avLst/>
                    </a:prstGeom>
                    <a:noFill/>
                    <a:ln w="9525">
                      <a:noFill/>
                    </a:ln>
                  </pic:spPr>
                </pic:pic>
              </a:graphicData>
            </a:graphic>
          </wp:inline>
        </w:drawing>
      </w:r>
    </w:p>
    <w:p w14:paraId="255FEF15">
      <w:pPr>
        <w:pStyle w:val="3"/>
        <w:ind w:firstLine="560"/>
      </w:pPr>
      <w:r>
        <w:t>从分布图中可以看出，</w:t>
      </w:r>
      <w:r>
        <w:rPr>
          <w:rStyle w:val="37"/>
        </w:rPr>
        <w:t>SalePrice</w:t>
      </w:r>
      <w:r>
        <w:t>的分布呈右偏态，表明大部分房屋价格集中在较低的范围内。具体统计描述如下：</w:t>
      </w:r>
    </w:p>
    <w:p w14:paraId="6A22EC7F">
      <w:pPr>
        <w:pStyle w:val="3"/>
        <w:ind w:firstLine="560"/>
      </w:pPr>
      <w:r>
        <w:t>均值为180921.195，中位数为163000.0，标准差为79442.502。这些统计描述为了解目标变量的基本特征提供了数据支持。</w:t>
      </w:r>
    </w:p>
    <w:bookmarkEnd w:id="11"/>
    <w:p w14:paraId="1E493FA9">
      <w:pPr>
        <w:pStyle w:val="5"/>
      </w:pPr>
      <w:bookmarkStart w:id="12" w:name="特征与目标变量的关系"/>
      <w:r>
        <w:t>特征与目标变量的关系</w:t>
      </w:r>
    </w:p>
    <w:p w14:paraId="7495F079">
      <w:pPr>
        <w:pStyle w:val="4"/>
        <w:ind w:firstLine="560"/>
      </w:pPr>
      <w:r>
        <w:t>本文分析了数值特征与</w:t>
      </w:r>
      <w:r>
        <w:rPr>
          <w:rStyle w:val="37"/>
        </w:rPr>
        <w:t>SalePrice</w:t>
      </w:r>
      <w:r>
        <w:t>的相关性，结果如下：</w:t>
      </w:r>
    </w:p>
    <w:p w14:paraId="056D0E3E">
      <w:pPr>
        <w:pStyle w:val="3"/>
        <w:ind w:firstLine="422"/>
      </w:pPr>
      <w:r>
        <w:rPr>
          <w:rStyle w:val="37"/>
          <w:b/>
          <w:bCs/>
        </w:rPr>
        <w:t>GrLivArea</w:t>
      </w:r>
      <w:r>
        <w:rPr>
          <w:b/>
          <w:bCs/>
        </w:rPr>
        <w:t>与</w:t>
      </w:r>
      <w:r>
        <w:rPr>
          <w:rStyle w:val="37"/>
          <w:b/>
          <w:bCs/>
        </w:rPr>
        <w:t>SalePrice</w:t>
      </w:r>
      <w:r>
        <w:rPr>
          <w:b/>
          <w:bCs/>
        </w:rPr>
        <w:t>的散点图与回归线</w:t>
      </w:r>
      <w:r>
        <w:t>：</w:t>
      </w:r>
    </w:p>
    <w:p w14:paraId="3951E21E">
      <w:pPr>
        <w:pStyle w:val="3"/>
        <w:ind w:firstLine="0" w:firstLineChars="0"/>
      </w:pPr>
      <w:r>
        <w:drawing>
          <wp:inline distT="0" distB="0" distL="0" distR="0">
            <wp:extent cx="5270500" cy="3587115"/>
            <wp:effectExtent l="0" t="0" r="0" b="0"/>
            <wp:docPr id="50" name="Picture" descr="GrLivArea和SalePric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descr="GrLivArea和SalePrice" title="fig:"/>
                    <pic:cNvPicPr>
                      <a:picLocks noChangeAspect="1" noChangeArrowheads="1"/>
                    </pic:cNvPicPr>
                  </pic:nvPicPr>
                  <pic:blipFill>
                    <a:blip r:embed="rId13"/>
                    <a:stretch>
                      <a:fillRect/>
                    </a:stretch>
                  </pic:blipFill>
                  <pic:spPr>
                    <a:xfrm>
                      <a:off x="0" y="0"/>
                      <a:ext cx="5270500" cy="3587648"/>
                    </a:xfrm>
                    <a:prstGeom prst="rect">
                      <a:avLst/>
                    </a:prstGeom>
                    <a:noFill/>
                    <a:ln w="9525">
                      <a:noFill/>
                    </a:ln>
                  </pic:spPr>
                </pic:pic>
              </a:graphicData>
            </a:graphic>
          </wp:inline>
        </w:drawing>
      </w:r>
    </w:p>
    <w:p w14:paraId="4A944345">
      <w:pPr>
        <w:pStyle w:val="3"/>
        <w:ind w:firstLine="560"/>
      </w:pPr>
      <w:r>
        <w:t>可以看出，</w:t>
      </w:r>
      <w:r>
        <w:rPr>
          <w:rStyle w:val="37"/>
        </w:rPr>
        <w:t>GrLivArea</w:t>
      </w:r>
      <w:r>
        <w:t>与</w:t>
      </w:r>
      <w:r>
        <w:rPr>
          <w:rStyle w:val="37"/>
        </w:rPr>
        <w:t>SalePrice</w:t>
      </w:r>
      <w:r>
        <w:t>存在较强的正相关关系，居住面积越大，房价越高。这说明居住面积是影响房价的重要因素。</w:t>
      </w:r>
    </w:p>
    <w:p w14:paraId="44417846">
      <w:pPr>
        <w:pStyle w:val="3"/>
        <w:ind w:firstLine="422"/>
      </w:pPr>
      <w:r>
        <w:rPr>
          <w:rStyle w:val="37"/>
          <w:b/>
          <w:bCs/>
        </w:rPr>
        <w:t>OverallQual</w:t>
      </w:r>
      <w:r>
        <w:rPr>
          <w:b/>
          <w:bCs/>
        </w:rPr>
        <w:t>和</w:t>
      </w:r>
      <w:r>
        <w:rPr>
          <w:rStyle w:val="37"/>
          <w:b/>
          <w:bCs/>
        </w:rPr>
        <w:t>SalePrice</w:t>
      </w:r>
      <w:r>
        <w:rPr>
          <w:b/>
          <w:bCs/>
        </w:rPr>
        <w:t>的盒须图</w:t>
      </w:r>
      <w:r>
        <w:t>：</w:t>
      </w:r>
    </w:p>
    <w:p w14:paraId="102A1E3B">
      <w:pPr>
        <w:pStyle w:val="3"/>
        <w:ind w:firstLine="0" w:firstLineChars="0"/>
      </w:pPr>
      <w:r>
        <w:drawing>
          <wp:inline distT="0" distB="0" distL="0" distR="0">
            <wp:extent cx="5270500" cy="3584575"/>
            <wp:effectExtent l="0" t="0" r="0" b="0"/>
            <wp:docPr id="53" name="Picture" descr="OverallQual和SalePric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descr="OverallQual和SalePrice" title="fig:"/>
                    <pic:cNvPicPr>
                      <a:picLocks noChangeAspect="1" noChangeArrowheads="1"/>
                    </pic:cNvPicPr>
                  </pic:nvPicPr>
                  <pic:blipFill>
                    <a:blip r:embed="rId14"/>
                    <a:stretch>
                      <a:fillRect/>
                    </a:stretch>
                  </pic:blipFill>
                  <pic:spPr>
                    <a:xfrm>
                      <a:off x="0" y="0"/>
                      <a:ext cx="5270500" cy="3584839"/>
                    </a:xfrm>
                    <a:prstGeom prst="rect">
                      <a:avLst/>
                    </a:prstGeom>
                    <a:noFill/>
                    <a:ln w="9525">
                      <a:noFill/>
                    </a:ln>
                  </pic:spPr>
                </pic:pic>
              </a:graphicData>
            </a:graphic>
          </wp:inline>
        </w:drawing>
      </w:r>
    </w:p>
    <w:p w14:paraId="535585FD">
      <w:pPr>
        <w:pStyle w:val="3"/>
        <w:ind w:firstLine="560"/>
      </w:pPr>
      <w:r>
        <w:t>从图中可以看出，房屋的整体质量越高，房价也越高。这进一步证明了房屋质量在房价预测中的重要性。此外，</w:t>
      </w:r>
      <w:r>
        <w:rPr>
          <w:rStyle w:val="37"/>
        </w:rPr>
        <w:t>GarageCars</w:t>
      </w:r>
      <w:r>
        <w:t>也是一个重要特征，与</w:t>
      </w:r>
      <w:r>
        <w:rPr>
          <w:rStyle w:val="37"/>
        </w:rPr>
        <w:t>SalePrice</w:t>
      </w:r>
      <w:r>
        <w:t>呈正相关关系。这些图表分析帮助识别出对房价影响较大的特征，为模型的特征选择和优化提供依据。</w:t>
      </w:r>
    </w:p>
    <w:bookmarkEnd w:id="12"/>
    <w:p w14:paraId="438AEE53">
      <w:pPr>
        <w:pStyle w:val="5"/>
      </w:pPr>
      <w:bookmarkStart w:id="13" w:name="t-sne方法详解"/>
      <w:r>
        <w:t>t-SNE方法详解</w:t>
      </w:r>
    </w:p>
    <w:p w14:paraId="1B5C3171">
      <w:pPr>
        <w:pStyle w:val="6"/>
      </w:pPr>
      <w:bookmarkStart w:id="14" w:name="t-sne基本原理"/>
      <w:r>
        <w:t>t-SNE基本原理</w:t>
      </w:r>
    </w:p>
    <w:p w14:paraId="52689324">
      <w:pPr>
        <w:pStyle w:val="4"/>
        <w:ind w:firstLine="562"/>
      </w:pPr>
      <w:r>
        <w:rPr>
          <w:b/>
          <w:bCs/>
        </w:rPr>
        <w:t>高维空间相似度</w:t>
      </w:r>
      <w:r>
        <w:t>：基于高斯分布计算点间相似度，即</w:t>
      </w:r>
    </w:p>
    <w:p w14:paraId="1088057E">
      <w:pPr>
        <w:pStyle w:val="3"/>
        <w:ind w:firstLine="560"/>
      </w:pPr>
      <m:oMathPara>
        <m:oMathParaPr>
          <m:jc m:val="center"/>
        </m:oMathParaPr>
        <m:oMath>
          <m:sSub>
            <m:sSubPr>
              <m:ctrlPr>
                <w:rPr>
                  <w:rFonts w:ascii="Cambria Math" w:hAnsi="Cambria Math"/>
                </w:rPr>
              </m:ctrlPr>
            </m:sSubPr>
            <m:e>
              <m:r>
                <m:rPr/>
                <w:rPr>
                  <w:rFonts w:ascii="Cambria Math" w:hAnsi="Cambria Math"/>
                </w:rPr>
                <m:t>p</m:t>
              </m:r>
              <m:ctrlPr>
                <w:rPr>
                  <w:rFonts w:ascii="Cambria Math" w:hAnsi="Cambria Math"/>
                </w:rPr>
              </m:ctrlPr>
            </m:e>
            <m:sub>
              <m:r>
                <m:rPr/>
                <w:rPr>
                  <w:rFonts w:ascii="Cambria Math" w:hAnsi="Cambria Math"/>
                </w:rPr>
                <m:t>ij</m:t>
              </m:r>
              <m:ctrlPr>
                <w:rPr>
                  <w:rFonts w:ascii="Cambria Math" w:hAnsi="Cambria Math"/>
                </w:rPr>
              </m:ctrlP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w:rPr>
                      <w:rFonts w:ascii="Cambria Math" w:hAnsi="Cambria Math"/>
                    </w:rPr>
                    <m:t>p</m:t>
                  </m:r>
                  <m:ctrlPr>
                    <w:rPr>
                      <w:rFonts w:ascii="Cambria Math" w:hAnsi="Cambria Math"/>
                    </w:rPr>
                  </m:ctrlPr>
                </m:e>
                <m:sub>
                  <m:r>
                    <m:rPr/>
                    <w:rPr>
                      <w:rFonts w:ascii="Cambria Math" w:hAnsi="Cambria Math"/>
                    </w:rPr>
                    <m:t>i</m:t>
                  </m:r>
                  <m:ctrlPr>
                    <w:rPr>
                      <w:rFonts w:ascii="Cambria Math" w:hAnsi="Cambria Math"/>
                    </w:rPr>
                  </m:ctrlPr>
                </m:sub>
              </m:sSub>
              <m:sSub>
                <m:sSubPr>
                  <m:ctrlPr>
                    <w:rPr>
                      <w:rFonts w:ascii="Cambria Math" w:hAnsi="Cambria Math"/>
                    </w:rPr>
                  </m:ctrlPr>
                </m:sSubPr>
                <m:e>
                  <m:r>
                    <m:rPr/>
                    <w:rPr>
                      <w:rFonts w:ascii="Cambria Math" w:hAnsi="Cambria Math"/>
                    </w:rPr>
                    <m:t>p</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num>
            <m:den>
              <m:r>
                <m:rPr/>
                <w:rPr>
                  <w:rFonts w:ascii="Cambria Math" w:hAnsi="Cambria Math"/>
                </w:rPr>
                <m:t>2</m:t>
              </m:r>
              <m:sSubSup>
                <m:sSubSupPr>
                  <m:ctrlPr>
                    <w:rPr>
                      <w:rFonts w:ascii="Cambria Math" w:hAnsi="Cambria Math"/>
                    </w:rPr>
                  </m:ctrlPr>
                </m:sSubSupPr>
                <m:e>
                  <m:r>
                    <m:rPr/>
                    <w:rPr>
                      <w:rFonts w:ascii="Cambria Math" w:hAnsi="Cambria Math"/>
                    </w:rPr>
                    <m:t>σ</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2</m:t>
                  </m:r>
                  <m:ctrlPr>
                    <w:rPr>
                      <w:rFonts w:ascii="Cambria Math" w:hAnsi="Cambria Math"/>
                    </w:rPr>
                  </m:ctrlPr>
                </m:sup>
              </m:sSubSup>
              <m:ctrlPr>
                <w:rPr>
                  <w:rFonts w:ascii="Cambria Math" w:hAnsi="Cambria Math"/>
                </w:rPr>
              </m:ctrlPr>
            </m:den>
          </m:f>
          <m:sSup>
            <m:sSupPr>
              <m:ctrlPr>
                <w:rPr>
                  <w:rFonts w:ascii="Cambria Math" w:hAnsi="Cambria Math"/>
                </w:rPr>
              </m:ctrlPr>
            </m:sSupPr>
            <m:e>
              <m:r>
                <m:rPr/>
                <w:rPr>
                  <w:rFonts w:ascii="Cambria Math" w:hAnsi="Cambria Math"/>
                </w:rPr>
                <m:t>e</m:t>
              </m:r>
              <m:ctrlPr>
                <w:rPr>
                  <w:rFonts w:ascii="Cambria Math" w:hAnsi="Cambria Math"/>
                </w:rPr>
              </m:ctrlPr>
            </m:e>
            <m:sup>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r>
                        <m:rPr/>
                        <w:rPr>
                          <w:rFonts w:ascii="Cambria Math" w:hAnsi="Cambria Math"/>
                        </w:rPr>
                        <m:t xml:space="preserve"> </m:t>
                      </m:r>
                      <m:ctrlPr>
                        <w:rPr>
                          <w:rFonts w:ascii="Cambria Math" w:hAnsi="Cambria Math"/>
                        </w:rPr>
                      </m:ctrlPr>
                    </m:e>
                  </m:d>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j</m:t>
                      </m:r>
                      <m:ctrlPr>
                        <w:rPr>
                          <w:rFonts w:ascii="Cambria Math" w:hAnsi="Cambria Math"/>
                        </w:rPr>
                      </m:ctrlPr>
                    </m:sub>
                  </m:sSub>
                  <m:sSup>
                    <m:sSupPr>
                      <m:ctrlPr>
                        <w:rPr>
                          <w:rFonts w:ascii="Cambria Math" w:hAnsi="Cambria Math"/>
                        </w:rPr>
                      </m:ctrlPr>
                    </m:sSupPr>
                    <m:e>
                      <m:d>
                        <m:dPr>
                          <m:begChr m:val="|"/>
                          <m:endChr m:val="|"/>
                          <m:ctrlPr>
                            <w:rPr>
                              <w:rFonts w:ascii="Cambria Math" w:hAnsi="Cambria Math"/>
                            </w:rPr>
                          </m:ctrlPr>
                        </m:dPr>
                        <m:e>
                          <m:r>
                            <m:rPr/>
                            <w:rPr>
                              <w:rFonts w:ascii="Cambria Math" w:hAnsi="Cambria Math"/>
                            </w:rPr>
                            <m:t xml:space="preserve"> </m:t>
                          </m:r>
                          <m:ctrlPr>
                            <w:rPr>
                              <w:rFonts w:ascii="Cambria Math" w:hAnsi="Cambria Math"/>
                            </w:rPr>
                          </m:ctrlPr>
                        </m:e>
                      </m:d>
                      <m:ctrlPr>
                        <w:rPr>
                          <w:rFonts w:ascii="Cambria Math" w:hAnsi="Cambria Math"/>
                        </w:rPr>
                      </m:ctrlPr>
                    </m:e>
                    <m:sup>
                      <m:r>
                        <m:rPr/>
                        <w:rPr>
                          <w:rFonts w:ascii="Cambria Math" w:hAnsi="Cambria Math"/>
                        </w:rPr>
                        <m:t>2</m:t>
                      </m:r>
                      <m:ctrlPr>
                        <w:rPr>
                          <w:rFonts w:ascii="Cambria Math" w:hAnsi="Cambria Math"/>
                        </w:rPr>
                      </m:ctrlPr>
                    </m:sup>
                  </m:sSup>
                  <m:ctrlPr>
                    <w:rPr>
                      <w:rFonts w:ascii="Cambria Math" w:hAnsi="Cambria Math"/>
                    </w:rPr>
                  </m:ctrlPr>
                </m:num>
                <m:den>
                  <m:r>
                    <m:rPr/>
                    <w:rPr>
                      <w:rFonts w:ascii="Cambria Math" w:hAnsi="Cambria Math"/>
                    </w:rPr>
                    <m:t>2</m:t>
                  </m:r>
                  <m:sSubSup>
                    <m:sSubSupPr>
                      <m:ctrlPr>
                        <w:rPr>
                          <w:rFonts w:ascii="Cambria Math" w:hAnsi="Cambria Math"/>
                        </w:rPr>
                      </m:ctrlPr>
                    </m:sSubSupPr>
                    <m:e>
                      <m:r>
                        <m:rPr/>
                        <w:rPr>
                          <w:rFonts w:ascii="Cambria Math" w:hAnsi="Cambria Math"/>
                        </w:rPr>
                        <m:t>σ</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2</m:t>
                      </m:r>
                      <m:ctrlPr>
                        <w:rPr>
                          <w:rFonts w:ascii="Cambria Math" w:hAnsi="Cambria Math"/>
                        </w:rPr>
                      </m:ctrlPr>
                    </m:sup>
                  </m:sSubSup>
                  <m:ctrlPr>
                    <w:rPr>
                      <w:rFonts w:ascii="Cambria Math" w:hAnsi="Cambria Math"/>
                    </w:rPr>
                  </m:ctrlPr>
                </m:den>
              </m:f>
              <m:ctrlPr>
                <w:rPr>
                  <w:rFonts w:ascii="Cambria Math" w:hAnsi="Cambria Math"/>
                </w:rPr>
              </m:ctrlPr>
            </m:sup>
          </m:sSup>
          <m:r>
            <m:rPr/>
            <w:rPr>
              <w:rFonts w:ascii="Cambria Math" w:hAnsi="Cambria Math"/>
            </w:rPr>
            <m:t>  </m:t>
          </m:r>
          <m:r>
            <m:rPr>
              <m:nor/>
              <m:sty m:val="p"/>
            </m:rPr>
            <w:rPr>
              <w:b w:val="0"/>
              <w:i w:val="0"/>
            </w:rPr>
            <m:t>(1)</m:t>
          </m:r>
        </m:oMath>
      </m:oMathPara>
    </w:p>
    <w:p w14:paraId="4F89C284">
      <w:pPr>
        <w:pStyle w:val="4"/>
        <w:ind w:firstLine="560"/>
      </w:pPr>
      <w:r>
        <w:t xml:space="preserve"> 其中</w:t>
      </w:r>
      <m:oMath>
        <m:sSub>
          <m:sSubPr>
            <m:ctrlPr>
              <w:rPr>
                <w:rFonts w:ascii="Cambria Math" w:hAnsi="Cambria Math"/>
              </w:rPr>
            </m:ctrlPr>
          </m:sSubPr>
          <m:e>
            <m:r>
              <m:rPr/>
              <w:rPr>
                <w:rFonts w:ascii="Cambria Math" w:hAnsi="Cambria Math"/>
              </w:rPr>
              <m:t>σ</m:t>
            </m:r>
            <m:ctrlPr>
              <w:rPr>
                <w:rFonts w:ascii="Cambria Math" w:hAnsi="Cambria Math"/>
              </w:rPr>
            </m:ctrlPr>
          </m:e>
          <m:sub>
            <m:r>
              <m:rPr/>
              <w:rPr>
                <w:rFonts w:ascii="Cambria Math" w:hAnsi="Cambria Math"/>
              </w:rPr>
              <m:t>i</m:t>
            </m:r>
            <m:ctrlPr>
              <w:rPr>
                <w:rFonts w:ascii="Cambria Math" w:hAnsi="Cambria Math"/>
              </w:rPr>
            </m:ctrlPr>
          </m:sub>
        </m:sSub>
      </m:oMath>
      <w:r>
        <w:t>通过 perplexity 参数调整。</w:t>
      </w:r>
      <w:r>
        <w:br w:type="textWrapping"/>
      </w:r>
      <w:r>
        <w:rPr>
          <w:b/>
          <w:bCs/>
        </w:rPr>
        <w:t>低维空间相似度</w:t>
      </w:r>
      <w:r>
        <w:t>：采用t-分布作为相似度度量，即</w:t>
      </w:r>
    </w:p>
    <w:p w14:paraId="18A82CAF">
      <w:pPr>
        <w:pStyle w:val="3"/>
        <w:ind w:firstLine="560"/>
      </w:pPr>
      <m:oMathPara>
        <m:oMathParaPr>
          <m:jc m:val="center"/>
        </m:oMathParaPr>
        <m:oMath>
          <m:sSub>
            <m:sSubPr>
              <m:ctrlPr>
                <w:rPr>
                  <w:rFonts w:ascii="Cambria Math" w:hAnsi="Cambria Math"/>
                </w:rPr>
              </m:ctrlPr>
            </m:sSubPr>
            <m:e>
              <m:r>
                <m:rPr/>
                <w:rPr>
                  <w:rFonts w:ascii="Cambria Math" w:hAnsi="Cambria Math"/>
                </w:rPr>
                <m:t>q</m:t>
              </m:r>
              <m:ctrlPr>
                <w:rPr>
                  <w:rFonts w:ascii="Cambria Math" w:hAnsi="Cambria Math"/>
                </w:rPr>
              </m:ctrlPr>
            </m:e>
            <m:sub>
              <m:r>
                <m:rPr/>
                <w:rPr>
                  <w:rFonts w:ascii="Cambria Math" w:hAnsi="Cambria Math"/>
                </w:rPr>
                <m:t>ij</m:t>
              </m:r>
              <m:ctrlPr>
                <w:rPr>
                  <w:rFonts w:ascii="Cambria Math" w:hAnsi="Cambria Math"/>
                </w:rPr>
              </m:ctrlP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m:rPr/>
                        <w:rPr>
                          <w:rFonts w:ascii="Cambria Math" w:hAnsi="Cambria Math"/>
                        </w:rPr>
                        <m:t>1</m:t>
                      </m:r>
                      <m:r>
                        <m:rPr>
                          <m:sty m:val="p"/>
                        </m:rPr>
                        <w:rPr>
                          <w:rFonts w:ascii="Cambria Math" w:hAnsi="Cambria Math"/>
                        </w:rPr>
                        <m:t>+</m:t>
                      </m:r>
                      <m:d>
                        <m:dPr>
                          <m:begChr m:val="|"/>
                          <m:endChr m:val="|"/>
                          <m:ctrlPr>
                            <w:rPr>
                              <w:rFonts w:ascii="Cambria Math" w:hAnsi="Cambria Math"/>
                            </w:rPr>
                          </m:ctrlPr>
                        </m:dPr>
                        <m:e>
                          <m:r>
                            <m:rPr/>
                            <w:rPr>
                              <w:rFonts w:ascii="Cambria Math" w:hAnsi="Cambria Math"/>
                            </w:rPr>
                            <m:t xml:space="preserve"> </m:t>
                          </m:r>
                          <m:ctrlPr>
                            <w:rPr>
                              <w:rFonts w:ascii="Cambria Math" w:hAnsi="Cambria Math"/>
                            </w:rPr>
                          </m:ctrlPr>
                        </m:e>
                      </m:d>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j</m:t>
                          </m:r>
                          <m:ctrlPr>
                            <w:rPr>
                              <w:rFonts w:ascii="Cambria Math" w:hAnsi="Cambria Math"/>
                            </w:rPr>
                          </m:ctrlPr>
                        </m:sub>
                      </m:sSub>
                      <m:sSup>
                        <m:sSupPr>
                          <m:ctrlPr>
                            <w:rPr>
                              <w:rFonts w:ascii="Cambria Math" w:hAnsi="Cambria Math"/>
                            </w:rPr>
                          </m:ctrlPr>
                        </m:sSupPr>
                        <m:e>
                          <m:d>
                            <m:dPr>
                              <m:begChr m:val="|"/>
                              <m:endChr m:val="|"/>
                              <m:ctrlPr>
                                <w:rPr>
                                  <w:rFonts w:ascii="Cambria Math" w:hAnsi="Cambria Math"/>
                                </w:rPr>
                              </m:ctrlPr>
                            </m:dPr>
                            <m:e>
                              <m:r>
                                <m:rPr/>
                                <w:rPr>
                                  <w:rFonts w:ascii="Cambria Math" w:hAnsi="Cambria Math"/>
                                </w:rPr>
                                <m:t xml:space="preserve"> </m:t>
                              </m:r>
                              <m:ctrlPr>
                                <w:rPr>
                                  <w:rFonts w:ascii="Cambria Math" w:hAnsi="Cambria Math"/>
                                </w:rPr>
                              </m:ctrlPr>
                            </m:e>
                          </m:d>
                          <m:ctrlPr>
                            <w:rPr>
                              <w:rFonts w:ascii="Cambria Math" w:hAnsi="Cambria Math"/>
                            </w:rPr>
                          </m:ctrlPr>
                        </m:e>
                        <m:sup>
                          <m:r>
                            <m:rPr/>
                            <w:rPr>
                              <w:rFonts w:ascii="Cambria Math" w:hAnsi="Cambria Math"/>
                            </w:rPr>
                            <m:t>2</m:t>
                          </m:r>
                          <m:ctrlPr>
                            <w:rPr>
                              <w:rFonts w:ascii="Cambria Math" w:hAnsi="Cambria Math"/>
                            </w:rPr>
                          </m:ctrlPr>
                        </m:sup>
                      </m:sSup>
                      <m:ctrlPr>
                        <w:rPr>
                          <w:rFonts w:ascii="Cambria Math" w:hAnsi="Cambria Math"/>
                        </w:rPr>
                      </m:ctrlPr>
                    </m:e>
                  </m:d>
                  <m:ctrlPr>
                    <w:rPr>
                      <w:rFonts w:ascii="Cambria Math" w:hAnsi="Cambria Math"/>
                    </w:rPr>
                  </m:ctrlPr>
                </m:e>
                <m:sup>
                  <m:r>
                    <m:rPr>
                      <m:sty m:val="p"/>
                    </m:rPr>
                    <w:rPr>
                      <w:rFonts w:ascii="Cambria Math" w:hAnsi="Cambria Math"/>
                    </w:rPr>
                    <m:t>−</m:t>
                  </m:r>
                  <m:r>
                    <m:rPr/>
                    <w:rPr>
                      <w:rFonts w:ascii="Cambria Math" w:hAnsi="Cambria Math"/>
                    </w:rPr>
                    <m:t>1</m:t>
                  </m:r>
                  <m:ctrlPr>
                    <w:rPr>
                      <w:rFonts w:ascii="Cambria Math" w:hAnsi="Cambria Math"/>
                    </w:rPr>
                  </m:ctrlPr>
                </m:sup>
              </m:sSup>
              <m:ctrlPr>
                <w:rPr>
                  <w:rFonts w:ascii="Cambria Math" w:hAnsi="Cambria Math"/>
                </w:rPr>
              </m:ctrlPr>
            </m:num>
            <m:den>
              <m:nary>
                <m:naryPr>
                  <m:chr m:val="∑"/>
                  <m:limLoc m:val="undOvr"/>
                  <m:supHide m:val="1"/>
                  <m:ctrlPr>
                    <w:rPr>
                      <w:rFonts w:ascii="Cambria Math" w:hAnsi="Cambria Math"/>
                    </w:rPr>
                  </m:ctrlPr>
                </m:naryPr>
                <m:sub>
                  <m:r>
                    <m:rPr/>
                    <w:rPr>
                      <w:rFonts w:ascii="Cambria Math" w:hAnsi="Cambria Math"/>
                    </w:rPr>
                    <m:t>k</m:t>
                  </m:r>
                  <m:r>
                    <m:rPr>
                      <m:sty m:val="p"/>
                    </m:rPr>
                    <w:rPr>
                      <w:rFonts w:ascii="Cambria Math" w:hAnsi="Cambria Math"/>
                    </w:rPr>
                    <m:t>≠</m:t>
                  </m:r>
                  <m:r>
                    <m:rPr/>
                    <w:rPr>
                      <w:rFonts w:ascii="Cambria Math" w:hAnsi="Cambria Math"/>
                    </w:rPr>
                    <m:t>l</m:t>
                  </m:r>
                  <m:ctrlPr>
                    <w:rPr>
                      <w:rFonts w:ascii="Cambria Math" w:hAnsi="Cambria Math"/>
                    </w:rPr>
                  </m:ctrlPr>
                </m:sub>
                <m:sup>
                  <m:r>
                    <m:rPr/>
                    <w:rPr>
                      <w:rFonts w:ascii="Cambria Math" w:hAnsi="Cambria Math"/>
                    </w:rPr>
                    <m:t>​</m:t>
                  </m:r>
                  <m:ctrlPr>
                    <w:rPr>
                      <w:rFonts w:ascii="Cambria Math" w:hAnsi="Cambria Math"/>
                    </w:rPr>
                  </m:ctrlPr>
                </m:sup>
                <m:e>
                  <m:sSup>
                    <m:sSupPr>
                      <m:ctrlPr>
                        <w:rPr>
                          <w:rFonts w:ascii="Cambria Math" w:hAnsi="Cambria Math"/>
                        </w:rPr>
                      </m:ctrlPr>
                    </m:sSupPr>
                    <m:e>
                      <m:d>
                        <m:dPr>
                          <m:ctrlPr>
                            <w:rPr>
                              <w:rFonts w:ascii="Cambria Math" w:hAnsi="Cambria Math"/>
                            </w:rPr>
                          </m:ctrlPr>
                        </m:dPr>
                        <m:e>
                          <m:r>
                            <m:rPr/>
                            <w:rPr>
                              <w:rFonts w:ascii="Cambria Math" w:hAnsi="Cambria Math"/>
                            </w:rPr>
                            <m:t>1</m:t>
                          </m:r>
                          <m:r>
                            <m:rPr>
                              <m:sty m:val="p"/>
                            </m:rPr>
                            <w:rPr>
                              <w:rFonts w:ascii="Cambria Math" w:hAnsi="Cambria Math"/>
                            </w:rPr>
                            <m:t>+</m:t>
                          </m:r>
                          <m:d>
                            <m:dPr>
                              <m:begChr m:val="|"/>
                              <m:endChr m:val="|"/>
                              <m:ctrlPr>
                                <w:rPr>
                                  <w:rFonts w:ascii="Cambria Math" w:hAnsi="Cambria Math"/>
                                </w:rPr>
                              </m:ctrlPr>
                            </m:dPr>
                            <m:e>
                              <m:r>
                                <m:rPr/>
                                <w:rPr>
                                  <w:rFonts w:ascii="Cambria Math" w:hAnsi="Cambria Math"/>
                                </w:rPr>
                                <m:t xml:space="preserve"> </m:t>
                              </m:r>
                              <m:ctrlPr>
                                <w:rPr>
                                  <w:rFonts w:ascii="Cambria Math" w:hAnsi="Cambria Math"/>
                                </w:rPr>
                              </m:ctrlPr>
                            </m:e>
                          </m:d>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k</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l</m:t>
                              </m:r>
                              <m:ctrlPr>
                                <w:rPr>
                                  <w:rFonts w:ascii="Cambria Math" w:hAnsi="Cambria Math"/>
                                </w:rPr>
                              </m:ctrlPr>
                            </m:sub>
                          </m:sSub>
                          <m:sSup>
                            <m:sSupPr>
                              <m:ctrlPr>
                                <w:rPr>
                                  <w:rFonts w:ascii="Cambria Math" w:hAnsi="Cambria Math"/>
                                </w:rPr>
                              </m:ctrlPr>
                            </m:sSupPr>
                            <m:e>
                              <m:d>
                                <m:dPr>
                                  <m:begChr m:val="|"/>
                                  <m:endChr m:val="|"/>
                                  <m:ctrlPr>
                                    <w:rPr>
                                      <w:rFonts w:ascii="Cambria Math" w:hAnsi="Cambria Math"/>
                                    </w:rPr>
                                  </m:ctrlPr>
                                </m:dPr>
                                <m:e>
                                  <m:r>
                                    <m:rPr/>
                                    <w:rPr>
                                      <w:rFonts w:ascii="Cambria Math" w:hAnsi="Cambria Math"/>
                                    </w:rPr>
                                    <m:t xml:space="preserve"> </m:t>
                                  </m:r>
                                  <m:ctrlPr>
                                    <w:rPr>
                                      <w:rFonts w:ascii="Cambria Math" w:hAnsi="Cambria Math"/>
                                    </w:rPr>
                                  </m:ctrlPr>
                                </m:e>
                              </m:d>
                              <m:ctrlPr>
                                <w:rPr>
                                  <w:rFonts w:ascii="Cambria Math" w:hAnsi="Cambria Math"/>
                                </w:rPr>
                              </m:ctrlPr>
                            </m:e>
                            <m:sup>
                              <m:r>
                                <m:rPr/>
                                <w:rPr>
                                  <w:rFonts w:ascii="Cambria Math" w:hAnsi="Cambria Math"/>
                                </w:rPr>
                                <m:t>2</m:t>
                              </m:r>
                              <m:ctrlPr>
                                <w:rPr>
                                  <w:rFonts w:ascii="Cambria Math" w:hAnsi="Cambria Math"/>
                                </w:rPr>
                              </m:ctrlPr>
                            </m:sup>
                          </m:sSup>
                          <m:ctrlPr>
                            <w:rPr>
                              <w:rFonts w:ascii="Cambria Math" w:hAnsi="Cambria Math"/>
                            </w:rPr>
                          </m:ctrlPr>
                        </m:e>
                      </m:d>
                      <m:ctrlPr>
                        <w:rPr>
                          <w:rFonts w:ascii="Cambria Math" w:hAnsi="Cambria Math"/>
                        </w:rPr>
                      </m:ctrlPr>
                    </m:e>
                    <m:sup>
                      <m:r>
                        <m:rPr>
                          <m:sty m:val="p"/>
                        </m:rPr>
                        <w:rPr>
                          <w:rFonts w:ascii="Cambria Math" w:hAnsi="Cambria Math"/>
                        </w:rPr>
                        <m:t>−</m:t>
                      </m:r>
                      <m:r>
                        <m:rPr/>
                        <w:rPr>
                          <w:rFonts w:ascii="Cambria Math" w:hAnsi="Cambria Math"/>
                        </w:rPr>
                        <m:t>1</m:t>
                      </m:r>
                      <m:ctrlPr>
                        <w:rPr>
                          <w:rFonts w:ascii="Cambria Math" w:hAnsi="Cambria Math"/>
                        </w:rPr>
                      </m:ctrlPr>
                    </m:sup>
                  </m:sSup>
                  <m:ctrlPr>
                    <w:rPr>
                      <w:rFonts w:ascii="Cambria Math" w:hAnsi="Cambria Math"/>
                    </w:rPr>
                  </m:ctrlPr>
                </m:e>
              </m:nary>
              <m:ctrlPr>
                <w:rPr>
                  <w:rFonts w:ascii="Cambria Math" w:hAnsi="Cambria Math"/>
                </w:rPr>
              </m:ctrlPr>
            </m:den>
          </m:f>
          <m:r>
            <m:rPr/>
            <w:rPr>
              <w:rFonts w:ascii="Cambria Math" w:hAnsi="Cambria Math"/>
            </w:rPr>
            <m:t>  </m:t>
          </m:r>
          <m:r>
            <m:rPr>
              <m:nor/>
              <m:sty m:val="p"/>
            </m:rPr>
            <w:rPr>
              <w:b w:val="0"/>
              <w:i w:val="0"/>
            </w:rPr>
            <m:t>(2)</m:t>
          </m:r>
        </m:oMath>
      </m:oMathPara>
    </w:p>
    <w:bookmarkEnd w:id="14"/>
    <w:p w14:paraId="7F8E23C3">
      <w:pPr>
        <w:pStyle w:val="6"/>
      </w:pPr>
      <w:bookmarkStart w:id="15" w:name="t-sne目标函数"/>
      <w:r>
        <w:t>t-SNE目标函数</w:t>
      </w:r>
    </w:p>
    <w:p w14:paraId="40406CF8">
      <w:pPr>
        <w:pStyle w:val="4"/>
        <w:ind w:firstLine="562"/>
      </w:pPr>
      <w:r>
        <w:rPr>
          <w:b/>
          <w:bCs/>
        </w:rPr>
        <w:t>KL散度</w:t>
      </w:r>
      <w:r>
        <w:t>：最小化高维空间中点对之间的相似度分布</w:t>
      </w:r>
      <m:oMath>
        <m:r>
          <m:rPr/>
          <w:rPr>
            <w:rFonts w:ascii="Cambria Math" w:hAnsi="Cambria Math"/>
          </w:rPr>
          <m:t>P</m:t>
        </m:r>
      </m:oMath>
      <w:r>
        <w:t>与低维嵌入空间中点对相似度分布</w:t>
      </w:r>
      <m:oMath>
        <m:r>
          <m:rPr/>
          <w:rPr>
            <w:rFonts w:ascii="Cambria Math" w:hAnsi="Cambria Math"/>
          </w:rPr>
          <m:t>Q</m:t>
        </m:r>
      </m:oMath>
      <w:r>
        <w:t>之间的Kullback-Leibler散度，即</w:t>
      </w:r>
    </w:p>
    <w:p w14:paraId="42200690">
      <w:pPr>
        <w:pStyle w:val="3"/>
        <w:ind w:firstLine="560"/>
      </w:pPr>
      <m:oMathPara>
        <m:oMathParaPr>
          <m:jc m:val="center"/>
        </m:oMathParaPr>
        <m:oMath>
          <m:nary>
            <m:naryPr>
              <m:chr m:val="∑"/>
              <m:limLoc m:val="undOvr"/>
              <m:supHide m:val="1"/>
              <m:ctrlPr>
                <w:rPr>
                  <w:rFonts w:ascii="Cambria Math" w:hAnsi="Cambria Math"/>
                </w:rPr>
              </m:ctrlPr>
            </m:naryPr>
            <m:sub>
              <m:r>
                <m:rPr/>
                <w:rPr>
                  <w:rFonts w:ascii="Cambria Math" w:hAnsi="Cambria Math"/>
                </w:rPr>
                <m:t>i</m:t>
              </m:r>
              <m:r>
                <m:rPr>
                  <m:sty m:val="p"/>
                </m:rPr>
                <w:rPr>
                  <w:rFonts w:ascii="Cambria Math" w:hAnsi="Cambria Math"/>
                </w:rPr>
                <m:t>≠</m:t>
              </m:r>
              <m:r>
                <m:rPr/>
                <w:rPr>
                  <w:rFonts w:ascii="Cambria Math" w:hAnsi="Cambria Math"/>
                </w:rPr>
                <m:t>j</m:t>
              </m:r>
              <m:ctrlPr>
                <w:rPr>
                  <w:rFonts w:ascii="Cambria Math" w:hAnsi="Cambria Math"/>
                </w:rPr>
              </m:ctrlPr>
            </m:sub>
            <m:sup>
              <m:r>
                <m:rPr/>
                <w:rPr>
                  <w:rFonts w:ascii="Cambria Math" w:hAnsi="Cambria Math"/>
                </w:rPr>
                <m:t>​</m:t>
              </m:r>
              <m:ctrlPr>
                <w:rPr>
                  <w:rFonts w:ascii="Cambria Math" w:hAnsi="Cambria Math"/>
                </w:rPr>
              </m:ctrlPr>
            </m:sup>
            <m:e>
              <m:sSub>
                <m:sSubPr>
                  <m:ctrlPr>
                    <w:rPr>
                      <w:rFonts w:ascii="Cambria Math" w:hAnsi="Cambria Math"/>
                    </w:rPr>
                  </m:ctrlPr>
                </m:sSubPr>
                <m:e>
                  <m:r>
                    <m:rPr/>
                    <w:rPr>
                      <w:rFonts w:ascii="Cambria Math" w:hAnsi="Cambria Math"/>
                    </w:rPr>
                    <m:t>p</m:t>
                  </m:r>
                  <m:ctrlPr>
                    <w:rPr>
                      <w:rFonts w:ascii="Cambria Math" w:hAnsi="Cambria Math"/>
                    </w:rPr>
                  </m:ctrlPr>
                </m:e>
                <m:sub>
                  <m:r>
                    <m:rPr/>
                    <w:rPr>
                      <w:rFonts w:ascii="Cambria Math" w:hAnsi="Cambria Math"/>
                    </w:rPr>
                    <m:t>ij</m:t>
                  </m:r>
                  <m:ctrlPr>
                    <w:rPr>
                      <w:rFonts w:ascii="Cambria Math" w:hAnsi="Cambria Math"/>
                    </w:rPr>
                  </m:ctrlPr>
                </m:sub>
              </m:sSub>
              <m:ctrlPr>
                <w:rPr>
                  <w:rFonts w:ascii="Cambria Math" w:hAnsi="Cambria Math"/>
                </w:rPr>
              </m:ctrlPr>
            </m:e>
          </m:nary>
          <m:r>
            <m:rPr>
              <m:sty m:val="p"/>
            </m:rPr>
            <w:rPr>
              <w:rFonts w:ascii="Cambria Math" w:hAnsi="Cambria Math"/>
            </w:rPr>
            <m:t>log</m:t>
          </m:r>
          <m:f>
            <m:fPr>
              <m:ctrlPr>
                <w:rPr>
                  <w:rFonts w:ascii="Cambria Math" w:hAnsi="Cambria Math"/>
                </w:rPr>
              </m:ctrlPr>
            </m:fPr>
            <m:num>
              <m:sSub>
                <m:sSubPr>
                  <m:ctrlPr>
                    <w:rPr>
                      <w:rFonts w:ascii="Cambria Math" w:hAnsi="Cambria Math"/>
                    </w:rPr>
                  </m:ctrlPr>
                </m:sSubPr>
                <m:e>
                  <m:r>
                    <m:rPr/>
                    <w:rPr>
                      <w:rFonts w:ascii="Cambria Math" w:hAnsi="Cambria Math"/>
                    </w:rPr>
                    <m:t>p</m:t>
                  </m:r>
                  <m:ctrlPr>
                    <w:rPr>
                      <w:rFonts w:ascii="Cambria Math" w:hAnsi="Cambria Math"/>
                    </w:rPr>
                  </m:ctrlPr>
                </m:e>
                <m:sub>
                  <m:r>
                    <m:rPr/>
                    <w:rPr>
                      <w:rFonts w:ascii="Cambria Math" w:hAnsi="Cambria Math"/>
                    </w:rPr>
                    <m:t>ij</m:t>
                  </m:r>
                  <m:ctrlPr>
                    <w:rPr>
                      <w:rFonts w:ascii="Cambria Math" w:hAnsi="Cambria Math"/>
                    </w:rPr>
                  </m:ctrlPr>
                </m:sub>
              </m:sSub>
              <m:ctrlPr>
                <w:rPr>
                  <w:rFonts w:ascii="Cambria Math" w:hAnsi="Cambria Math"/>
                </w:rPr>
              </m:ctrlPr>
            </m:num>
            <m:den>
              <m:sSub>
                <m:sSubPr>
                  <m:ctrlPr>
                    <w:rPr>
                      <w:rFonts w:ascii="Cambria Math" w:hAnsi="Cambria Math"/>
                    </w:rPr>
                  </m:ctrlPr>
                </m:sSubPr>
                <m:e>
                  <m:r>
                    <m:rPr/>
                    <w:rPr>
                      <w:rFonts w:ascii="Cambria Math" w:hAnsi="Cambria Math"/>
                    </w:rPr>
                    <m:t>q</m:t>
                  </m:r>
                  <m:ctrlPr>
                    <w:rPr>
                      <w:rFonts w:ascii="Cambria Math" w:hAnsi="Cambria Math"/>
                    </w:rPr>
                  </m:ctrlPr>
                </m:e>
                <m:sub>
                  <m:r>
                    <m:rPr/>
                    <w:rPr>
                      <w:rFonts w:ascii="Cambria Math" w:hAnsi="Cambria Math"/>
                    </w:rPr>
                    <m:t>ij</m:t>
                  </m:r>
                  <m:ctrlPr>
                    <w:rPr>
                      <w:rFonts w:ascii="Cambria Math" w:hAnsi="Cambria Math"/>
                    </w:rPr>
                  </m:ctrlPr>
                </m:sub>
              </m:sSub>
              <m:ctrlPr>
                <w:rPr>
                  <w:rFonts w:ascii="Cambria Math" w:hAnsi="Cambria Math"/>
                </w:rPr>
              </m:ctrlPr>
            </m:den>
          </m:f>
          <m:r>
            <m:rPr/>
            <w:rPr>
              <w:rFonts w:ascii="Cambria Math" w:hAnsi="Cambria Math"/>
            </w:rPr>
            <m:t>  </m:t>
          </m:r>
          <m:r>
            <m:rPr>
              <m:nor/>
              <m:sty m:val="p"/>
            </m:rPr>
            <w:rPr>
              <w:b w:val="0"/>
              <w:i w:val="0"/>
            </w:rPr>
            <m:t>(3)</m:t>
          </m:r>
        </m:oMath>
      </m:oMathPara>
    </w:p>
    <w:bookmarkEnd w:id="13"/>
    <w:bookmarkEnd w:id="15"/>
    <w:p w14:paraId="5B7A4C5A">
      <w:pPr>
        <w:pStyle w:val="5"/>
      </w:pPr>
      <w:bookmarkStart w:id="16" w:name="t-sne降维过程"/>
      <w:r>
        <w:t>t-SNE降维过程</w:t>
      </w:r>
    </w:p>
    <w:p w14:paraId="3F960AD3">
      <w:pPr>
        <w:pStyle w:val="6"/>
      </w:pPr>
      <w:bookmarkStart w:id="17" w:name="初始化"/>
      <w:r>
        <w:t>初始化</w:t>
      </w:r>
    </w:p>
    <w:p w14:paraId="08220C33">
      <w:pPr>
        <w:pStyle w:val="4"/>
        <w:ind w:firstLine="560"/>
      </w:pPr>
      <w:r>
        <w:t>随机设置低维空间中点的位置。</w:t>
      </w:r>
    </w:p>
    <w:bookmarkEnd w:id="17"/>
    <w:p w14:paraId="1A773F86">
      <w:pPr>
        <w:pStyle w:val="6"/>
      </w:pPr>
      <w:bookmarkStart w:id="18" w:name="迭代优化"/>
      <w:r>
        <w:t>迭代优化</w:t>
      </w:r>
    </w:p>
    <w:p w14:paraId="56992B77">
      <w:pPr>
        <w:pStyle w:val="4"/>
        <w:ind w:firstLine="560"/>
      </w:pPr>
      <w:r>
        <w:t>通过梯度下降法，不断更新低维空间中点的位置，直至达到收敛条件，最小化KL散度。</w:t>
      </w:r>
    </w:p>
    <w:bookmarkEnd w:id="18"/>
    <w:p w14:paraId="32B84A57">
      <w:pPr>
        <w:pStyle w:val="6"/>
      </w:pPr>
      <w:bookmarkStart w:id="19" w:name="参数调整"/>
      <w:r>
        <w:t>参数调整</w:t>
      </w:r>
    </w:p>
    <w:p w14:paraId="1E7F1EAC">
      <w:pPr>
        <w:pStyle w:val="4"/>
        <w:ind w:firstLine="560"/>
      </w:pPr>
      <w:r>
        <w:t>Perplexity：控制了每个点的邻域大小，影响降维结果的聚类效果，通常需通过多次实验确定最优值。</w:t>
      </w:r>
    </w:p>
    <w:bookmarkEnd w:id="16"/>
    <w:bookmarkEnd w:id="19"/>
    <w:p w14:paraId="45836C77">
      <w:pPr>
        <w:pStyle w:val="5"/>
      </w:pPr>
      <w:bookmarkStart w:id="20" w:name="t-sne降维结果分析"/>
      <w:r>
        <w:t>t-SNE降维结果分析</w:t>
      </w:r>
    </w:p>
    <w:p w14:paraId="469BF9BA">
      <w:pPr>
        <w:pStyle w:val="6"/>
      </w:pPr>
      <w:bookmarkStart w:id="21" w:name="全局视角"/>
      <w:r>
        <w:t>全局视角</w:t>
      </w:r>
    </w:p>
    <w:p w14:paraId="1A8A09FB">
      <w:pPr>
        <w:numPr>
          <w:ilvl w:val="0"/>
          <w:numId w:val="2"/>
        </w:numPr>
        <w:rPr>
          <w:lang w:eastAsia="zh-CN"/>
        </w:rPr>
      </w:pPr>
      <w:r>
        <w:rPr>
          <w:lang w:eastAsia="zh-CN"/>
        </w:rPr>
        <w:t>生成的二维t-SNE图展现了数据在降维空间中的分布，有助于直观理解特征间的相互关系及潜在群组结构。</w:t>
      </w:r>
    </w:p>
    <w:p w14:paraId="6C0BF469">
      <w:pPr>
        <w:pStyle w:val="4"/>
        <w:ind w:firstLine="0" w:firstLineChars="0"/>
        <w:jc w:val="center"/>
      </w:pPr>
      <w:r>
        <w:drawing>
          <wp:inline distT="0" distB="0" distL="0" distR="0">
            <wp:extent cx="5270500" cy="3844925"/>
            <wp:effectExtent l="0" t="0" r="0" b="0"/>
            <wp:docPr id="64" name="Picture" descr="t-SNE 降维结果"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descr="t-SNE 降维结果" title="fig:"/>
                    <pic:cNvPicPr>
                      <a:picLocks noChangeAspect="1" noChangeArrowheads="1"/>
                    </pic:cNvPicPr>
                  </pic:nvPicPr>
                  <pic:blipFill>
                    <a:blip r:embed="rId15"/>
                    <a:stretch>
                      <a:fillRect/>
                    </a:stretch>
                  </pic:blipFill>
                  <pic:spPr>
                    <a:xfrm>
                      <a:off x="0" y="0"/>
                      <a:ext cx="5270500" cy="3845482"/>
                    </a:xfrm>
                    <a:prstGeom prst="rect">
                      <a:avLst/>
                    </a:prstGeom>
                    <a:noFill/>
                    <a:ln w="9525">
                      <a:noFill/>
                    </a:ln>
                  </pic:spPr>
                </pic:pic>
              </a:graphicData>
            </a:graphic>
          </wp:inline>
        </w:drawing>
      </w:r>
    </w:p>
    <w:bookmarkEnd w:id="21"/>
    <w:p w14:paraId="13591FA7">
      <w:pPr>
        <w:pStyle w:val="6"/>
      </w:pPr>
      <w:bookmarkStart w:id="22" w:name="按类别特征分析"/>
      <w:r>
        <w:t>按类别特征分析</w:t>
      </w:r>
    </w:p>
    <w:p w14:paraId="3992F38E">
      <w:pPr>
        <w:numPr>
          <w:ilvl w:val="0"/>
          <w:numId w:val="2"/>
        </w:numPr>
        <w:rPr>
          <w:lang w:eastAsia="zh-CN"/>
        </w:rPr>
      </w:pPr>
      <w:r>
        <w:rPr>
          <w:lang w:eastAsia="zh-CN"/>
        </w:rPr>
        <w:t>通过着色区分不同类别特征下的点群，可以观察到类别间明显的分界，显示t-SNE有效捕获了类别差异。</w:t>
      </w:r>
    </w:p>
    <w:p w14:paraId="2E68377B">
      <w:pPr>
        <w:pStyle w:val="4"/>
        <w:ind w:firstLine="0" w:firstLineChars="0"/>
        <w:jc w:val="center"/>
      </w:pPr>
      <w:r>
        <w:drawing>
          <wp:inline distT="0" distB="0" distL="0" distR="0">
            <wp:extent cx="5270500" cy="3352800"/>
            <wp:effectExtent l="0" t="0" r="0" b="0"/>
            <wp:docPr id="68" name="Picture" descr="按MSSubClass分类的t-SNE降维结果"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descr="按MSSubClass分类的t-SNE降维结果" title="fig:"/>
                    <pic:cNvPicPr>
                      <a:picLocks noChangeAspect="1" noChangeArrowheads="1"/>
                    </pic:cNvPicPr>
                  </pic:nvPicPr>
                  <pic:blipFill>
                    <a:blip r:embed="rId16"/>
                    <a:stretch>
                      <a:fillRect/>
                    </a:stretch>
                  </pic:blipFill>
                  <pic:spPr>
                    <a:xfrm>
                      <a:off x="0" y="0"/>
                      <a:ext cx="5270500" cy="3352973"/>
                    </a:xfrm>
                    <a:prstGeom prst="rect">
                      <a:avLst/>
                    </a:prstGeom>
                    <a:noFill/>
                    <a:ln w="9525">
                      <a:noFill/>
                    </a:ln>
                  </pic:spPr>
                </pic:pic>
              </a:graphicData>
            </a:graphic>
          </wp:inline>
        </w:drawing>
      </w:r>
    </w:p>
    <w:bookmarkEnd w:id="22"/>
    <w:p w14:paraId="50E7EFDF">
      <w:pPr>
        <w:pStyle w:val="6"/>
      </w:pPr>
      <w:bookmarkStart w:id="23" w:name="按目标变量分析"/>
      <w:r>
        <w:t>按目标变量分析</w:t>
      </w:r>
    </w:p>
    <w:p w14:paraId="054AF9AB">
      <w:pPr>
        <w:numPr>
          <w:ilvl w:val="0"/>
          <w:numId w:val="2"/>
        </w:numPr>
        <w:rPr>
          <w:lang w:eastAsia="zh-CN"/>
        </w:rPr>
      </w:pPr>
      <w:r>
        <w:rPr>
          <w:lang w:eastAsia="zh-CN"/>
        </w:rPr>
        <w:t>将目标变量（如对数变换后的房价）映射为颜色渐变，揭示了价格与特征空间位置的潜在相关性。</w:t>
      </w:r>
    </w:p>
    <w:p w14:paraId="6EB31FF9">
      <w:pPr>
        <w:pStyle w:val="4"/>
        <w:ind w:firstLine="0" w:firstLineChars="0"/>
        <w:jc w:val="center"/>
      </w:pPr>
      <w:r>
        <w:drawing>
          <wp:inline distT="0" distB="0" distL="0" distR="0">
            <wp:extent cx="5270500" cy="4006215"/>
            <wp:effectExtent l="0" t="0" r="0" b="0"/>
            <wp:docPr id="72" name="Picture" descr="按SalePrice分类的t-SNE降维结果"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descr="按SalePrice分类的t-SNE降维结果" title="fig:"/>
                    <pic:cNvPicPr>
                      <a:picLocks noChangeAspect="1" noChangeArrowheads="1"/>
                    </pic:cNvPicPr>
                  </pic:nvPicPr>
                  <pic:blipFill>
                    <a:blip r:embed="rId17"/>
                    <a:stretch>
                      <a:fillRect/>
                    </a:stretch>
                  </pic:blipFill>
                  <pic:spPr>
                    <a:xfrm>
                      <a:off x="0" y="0"/>
                      <a:ext cx="5270500" cy="4006611"/>
                    </a:xfrm>
                    <a:prstGeom prst="rect">
                      <a:avLst/>
                    </a:prstGeom>
                    <a:noFill/>
                    <a:ln w="9525">
                      <a:noFill/>
                    </a:ln>
                  </pic:spPr>
                </pic:pic>
              </a:graphicData>
            </a:graphic>
          </wp:inline>
        </w:drawing>
      </w:r>
    </w:p>
    <w:bookmarkEnd w:id="23"/>
    <w:p w14:paraId="543B1ABA">
      <w:pPr>
        <w:pStyle w:val="6"/>
      </w:pPr>
      <w:bookmarkStart w:id="24" w:name="初步结论"/>
      <w:r>
        <w:t>初步结论</w:t>
      </w:r>
    </w:p>
    <w:p w14:paraId="185F8C9D">
      <w:pPr>
        <w:pStyle w:val="4"/>
        <w:ind w:firstLine="560"/>
      </w:pPr>
      <w:r>
        <w:t>通过对数据集的详细分析，本文得出了以下结论：</w:t>
      </w:r>
    </w:p>
    <w:p w14:paraId="1374C73D">
      <w:pPr>
        <w:pStyle w:val="3"/>
        <w:ind w:firstLine="560"/>
      </w:pPr>
      <w:r>
        <w:t>首先，数据集中存在一些缺失值较多的特征，需要进行适当处理。对于缺失值比例高且不重要的特征，可以考虑删除，而对于重要性较高的特征，建议使用填充方法。其次，数值特征中存在离群值，特别是</w:t>
      </w:r>
      <w:r>
        <w:rPr>
          <w:rStyle w:val="37"/>
        </w:rPr>
        <w:t>LotArea</w:t>
      </w:r>
      <w:r>
        <w:t>和</w:t>
      </w:r>
      <w:r>
        <w:rPr>
          <w:rStyle w:val="37"/>
        </w:rPr>
        <w:t>GrLivArea</w:t>
      </w:r>
      <w:r>
        <w:t>，需要进一步处理以提升模型性能。此外，类别特征的分布情况多样，对于某些特征如</w:t>
      </w:r>
      <w:r>
        <w:rPr>
          <w:rStyle w:val="37"/>
        </w:rPr>
        <w:t>MSZoning</w:t>
      </w:r>
      <w:r>
        <w:t>和</w:t>
      </w:r>
      <w:r>
        <w:rPr>
          <w:rStyle w:val="37"/>
        </w:rPr>
        <w:t>Neighborhood</w:t>
      </w:r>
      <w:r>
        <w:t>，可以进一步细化分析。</w:t>
      </w:r>
    </w:p>
    <w:p w14:paraId="63E82F53">
      <w:pPr>
        <w:pStyle w:val="3"/>
        <w:ind w:firstLine="560"/>
      </w:pPr>
      <w:r>
        <w:t>t-SNE有效地将高维度的房地产数据降至二维，不仅保留了数据的重要结构信息，还通过可视化揭示了数据的内在模式。尽管t-SNE在探索性分析中表现卓越，但其计算成本和对超参数的选择敏感性要求在大规模数据应用中需谨慎考量。此外，t-SNE更多用于数据探索，而不直接用于模型的输入层，因其不保证全局保距和保序性。</w:t>
      </w:r>
    </w:p>
    <w:p w14:paraId="380828E7">
      <w:pPr>
        <w:pStyle w:val="3"/>
        <w:ind w:firstLine="420"/>
      </w:pPr>
      <w:r>
        <w:rPr>
          <w:rStyle w:val="37"/>
        </w:rPr>
        <w:t>SalePrice</w:t>
      </w:r>
      <w:r>
        <w:t>作为目标变量，呈现右偏分布，且与一些重要特征如</w:t>
      </w:r>
      <w:r>
        <w:rPr>
          <w:rStyle w:val="37"/>
        </w:rPr>
        <w:t>GrLivArea</w:t>
      </w:r>
      <w:r>
        <w:t>、</w:t>
      </w:r>
      <w:r>
        <w:rPr>
          <w:rStyle w:val="37"/>
        </w:rPr>
        <w:t>OverallQual</w:t>
      </w:r>
      <w:r>
        <w:t>、</w:t>
      </w:r>
      <w:r>
        <w:rPr>
          <w:rStyle w:val="37"/>
        </w:rPr>
        <w:t>GarageCars</w:t>
      </w:r>
      <w:r>
        <w:t>等有较强的相关性。未来的房价预测模型应重点关注与</w:t>
      </w:r>
      <w:r>
        <w:rPr>
          <w:rStyle w:val="37"/>
        </w:rPr>
        <w:t>SalePrice</w:t>
      </w:r>
      <w:r>
        <w:t>高度相关的特征，如</w:t>
      </w:r>
      <w:r>
        <w:rPr>
          <w:rStyle w:val="37"/>
        </w:rPr>
        <w:t>GrLivArea</w:t>
      </w:r>
      <w:r>
        <w:t>、</w:t>
      </w:r>
      <w:r>
        <w:rPr>
          <w:rStyle w:val="37"/>
        </w:rPr>
        <w:t>OverallQual</w:t>
      </w:r>
      <w:r>
        <w:t>、</w:t>
      </w:r>
      <w:r>
        <w:rPr>
          <w:rStyle w:val="37"/>
        </w:rPr>
        <w:t>GarageCars</w:t>
      </w:r>
      <w:r>
        <w:t>等，进行特征选择和优化。这些分析为房地产市场的相关研究提供了数据支持，有助于相关方做出更科学的决策。</w:t>
      </w:r>
      <w:bookmarkEnd w:id="0"/>
      <w:bookmarkEnd w:id="20"/>
      <w:bookmarkEnd w:id="24"/>
      <w:bookmarkStart w:id="25" w:name="_GoBack"/>
      <w:bookmarkEnd w:id="25"/>
    </w:p>
    <w:sectPr>
      <w:footerReference r:id="rId5" w:type="default"/>
      <w:pgSz w:w="11906" w:h="16838"/>
      <w:pgMar w:top="1440" w:right="1800" w:bottom="1440" w:left="1800" w:header="720" w:footer="720" w:gutter="0"/>
      <w:cols w:space="720"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imes New Roman (正文 CS 字体)">
    <w:altName w:val="宋体"/>
    <w:panose1 w:val="00000000000000000000"/>
    <w:charset w:val="86"/>
    <w:family w:val="roman"/>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微软雅黑">
    <w:panose1 w:val="020B0502040204020203"/>
    <w:charset w:val="86"/>
    <w:family w:val="swiss"/>
    <w:pitch w:val="default"/>
    <w:sig w:usb0="A00002BF" w:usb1="2ACF7CFB" w:usb2="00000016" w:usb3="00000000" w:csb0="2004019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63818139"/>
      <w:docPartObj>
        <w:docPartGallery w:val="autotext"/>
      </w:docPartObj>
    </w:sdtPr>
    <w:sdtContent>
      <w:p w14:paraId="2400F083">
        <w:pPr>
          <w:pStyle w:val="16"/>
          <w:jc w:val="center"/>
        </w:pPr>
        <w:r>
          <w:fldChar w:fldCharType="begin"/>
        </w:r>
        <w:r>
          <w:instrText xml:space="preserve">PAGE   \* MERGEFORMAT</w:instrText>
        </w:r>
        <w:r>
          <w:fldChar w:fldCharType="separate"/>
        </w:r>
        <w:r>
          <w:rPr>
            <w:lang w:val="zh-CN" w:eastAsia="zh-CN"/>
          </w:rPr>
          <w:t>2</w:t>
        </w:r>
        <w:r>
          <w:fldChar w:fldCharType="end"/>
        </w:r>
      </w:p>
    </w:sdtContent>
  </w:sdt>
  <w:p w14:paraId="68171C7B">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A991"/>
    <w:multiLevelType w:val="multilevel"/>
    <w:tmpl w:val="0000A991"/>
    <w:lvl w:ilvl="0" w:tentative="0">
      <w:start w:val="0"/>
      <w:numFmt w:val="bullet"/>
      <w:suff w:val="space"/>
      <w:lvlText w:val="•"/>
      <w:lvlJc w:val="left"/>
      <w:pPr>
        <w:ind w:left="0" w:firstLine="567"/>
      </w:pPr>
      <w:rPr>
        <w:rFonts w:hint="eastAsia" w:ascii="微软雅黑" w:hAnsi="微软雅黑" w:eastAsia="微软雅黑"/>
        <w:sz w:val="28"/>
      </w:rPr>
    </w:lvl>
    <w:lvl w:ilvl="1" w:tentative="0">
      <w:start w:val="0"/>
      <w:numFmt w:val="bullet"/>
      <w:suff w:val="space"/>
      <w:lvlText w:val=""/>
      <w:lvlJc w:val="left"/>
      <w:pPr>
        <w:ind w:left="567" w:firstLine="567"/>
      </w:pPr>
      <w:rPr>
        <w:rFonts w:hint="default" w:ascii="Wingdings" w:hAnsi="Wingdings"/>
        <w:sz w:val="28"/>
      </w:rPr>
    </w:lvl>
    <w:lvl w:ilvl="2" w:tentative="0">
      <w:start w:val="0"/>
      <w:numFmt w:val="bullet"/>
      <w:suff w:val="space"/>
      <w:lvlText w:val=""/>
      <w:lvlJc w:val="left"/>
      <w:pPr>
        <w:ind w:left="1134" w:firstLine="567"/>
      </w:pPr>
      <w:rPr>
        <w:rFonts w:hint="default" w:ascii="Wingdings" w:hAnsi="Wingdings"/>
        <w:sz w:val="28"/>
      </w:rPr>
    </w:lvl>
    <w:lvl w:ilvl="3" w:tentative="0">
      <w:start w:val="0"/>
      <w:numFmt w:val="bullet"/>
      <w:suff w:val="space"/>
      <w:lvlText w:val="•"/>
      <w:lvlJc w:val="left"/>
      <w:pPr>
        <w:ind w:left="1701" w:firstLine="567"/>
      </w:pPr>
      <w:rPr>
        <w:rFonts w:hint="eastAsia" w:ascii="微软雅黑" w:hAnsi="微软雅黑" w:eastAsia="微软雅黑"/>
        <w:sz w:val="28"/>
      </w:rPr>
    </w:lvl>
    <w:lvl w:ilvl="4" w:tentative="0">
      <w:start w:val="0"/>
      <w:numFmt w:val="bullet"/>
      <w:suff w:val="space"/>
      <w:lvlText w:val="•"/>
      <w:lvlJc w:val="left"/>
      <w:pPr>
        <w:ind w:left="2268" w:firstLine="567"/>
      </w:pPr>
      <w:rPr>
        <w:rFonts w:hint="eastAsia" w:ascii="微软雅黑" w:hAnsi="微软雅黑" w:eastAsia="微软雅黑"/>
        <w:sz w:val="28"/>
      </w:rPr>
    </w:lvl>
    <w:lvl w:ilvl="5" w:tentative="0">
      <w:start w:val="0"/>
      <w:numFmt w:val="bullet"/>
      <w:suff w:val="space"/>
      <w:lvlText w:val="•"/>
      <w:lvlJc w:val="left"/>
      <w:pPr>
        <w:ind w:left="2835" w:firstLine="567"/>
      </w:pPr>
      <w:rPr>
        <w:rFonts w:hint="eastAsia"/>
        <w:sz w:val="28"/>
      </w:rPr>
    </w:lvl>
    <w:lvl w:ilvl="6" w:tentative="0">
      <w:start w:val="0"/>
      <w:numFmt w:val="bullet"/>
      <w:suff w:val="space"/>
      <w:lvlText w:val="•"/>
      <w:lvlJc w:val="left"/>
      <w:pPr>
        <w:ind w:left="3402" w:firstLine="567"/>
      </w:pPr>
      <w:rPr>
        <w:rFonts w:hint="eastAsia"/>
        <w:sz w:val="28"/>
      </w:rPr>
    </w:lvl>
    <w:lvl w:ilvl="7" w:tentative="0">
      <w:start w:val="0"/>
      <w:numFmt w:val="bullet"/>
      <w:suff w:val="space"/>
      <w:lvlText w:val="•"/>
      <w:lvlJc w:val="left"/>
      <w:pPr>
        <w:ind w:left="3969" w:firstLine="567"/>
      </w:pPr>
      <w:rPr>
        <w:rFonts w:hint="eastAsia"/>
        <w:sz w:val="28"/>
      </w:rPr>
    </w:lvl>
    <w:lvl w:ilvl="8" w:tentative="0">
      <w:start w:val="0"/>
      <w:numFmt w:val="bullet"/>
      <w:suff w:val="space"/>
      <w:lvlText w:val="•"/>
      <w:lvlJc w:val="left"/>
      <w:pPr>
        <w:ind w:left="4536" w:firstLine="567"/>
      </w:pPr>
      <w:rPr>
        <w:rFonts w:hint="eastAsia"/>
        <w:sz w:val="28"/>
      </w:rPr>
    </w:lvl>
  </w:abstractNum>
  <w:abstractNum w:abstractNumId="1">
    <w:nsid w:val="4441231C"/>
    <w:multiLevelType w:val="multilevel"/>
    <w:tmpl w:val="4441231C"/>
    <w:lvl w:ilvl="0" w:tentative="0">
      <w:start w:val="1"/>
      <w:numFmt w:val="decimal"/>
      <w:pStyle w:val="5"/>
      <w:suff w:val="space"/>
      <w:lvlText w:val="%1"/>
      <w:lvlJc w:val="left"/>
      <w:pPr>
        <w:ind w:left="0" w:firstLine="0"/>
      </w:pPr>
      <w:rPr>
        <w:rFonts w:hint="eastAsia"/>
      </w:rPr>
    </w:lvl>
    <w:lvl w:ilvl="1" w:tentative="0">
      <w:start w:val="1"/>
      <w:numFmt w:val="decimal"/>
      <w:pStyle w:val="6"/>
      <w:suff w:val="space"/>
      <w:lvlText w:val="%1.%2"/>
      <w:lvlJc w:val="left"/>
      <w:pPr>
        <w:ind w:left="0" w:firstLine="0"/>
      </w:pPr>
      <w:rPr>
        <w:rFonts w:hint="eastAsia"/>
      </w:rPr>
    </w:lvl>
    <w:lvl w:ilvl="2" w:tentative="0">
      <w:start w:val="1"/>
      <w:numFmt w:val="decimal"/>
      <w:pStyle w:val="7"/>
      <w:suff w:val="space"/>
      <w:lvlText w:val="%1.%2.%3"/>
      <w:lvlJc w:val="left"/>
      <w:pPr>
        <w:ind w:left="0" w:firstLine="0"/>
      </w:pPr>
      <w:rPr>
        <w:rFonts w:hint="eastAsia"/>
      </w:rPr>
    </w:lvl>
    <w:lvl w:ilvl="3" w:tentative="0">
      <w:start w:val="1"/>
      <w:numFmt w:val="decimal"/>
      <w:pStyle w:val="8"/>
      <w:suff w:val="space"/>
      <w:lvlText w:val="%1.%2.%3.%4"/>
      <w:lvlJc w:val="left"/>
      <w:pPr>
        <w:ind w:left="0" w:firstLine="0"/>
      </w:pPr>
      <w:rPr>
        <w:rFonts w:hint="eastAsia"/>
      </w:rPr>
    </w:lvl>
    <w:lvl w:ilvl="4" w:tentative="0">
      <w:start w:val="1"/>
      <w:numFmt w:val="decimal"/>
      <w:pStyle w:val="9"/>
      <w:suff w:val="space"/>
      <w:lvlText w:val="%1.%2.%3.%4.%5"/>
      <w:lvlJc w:val="left"/>
      <w:pPr>
        <w:ind w:left="0" w:firstLine="0"/>
      </w:pPr>
      <w:rPr>
        <w:rFonts w:hint="eastAsia"/>
      </w:rPr>
    </w:lvl>
    <w:lvl w:ilvl="5" w:tentative="0">
      <w:start w:val="1"/>
      <w:numFmt w:val="decimal"/>
      <w:pStyle w:val="10"/>
      <w:suff w:val="space"/>
      <w:lvlText w:val="%1.%2.%3.%4.%5.%6"/>
      <w:lvlJc w:val="left"/>
      <w:pPr>
        <w:ind w:left="0" w:firstLine="0"/>
      </w:pPr>
      <w:rPr>
        <w:rFonts w:hint="eastAsia"/>
      </w:rPr>
    </w:lvl>
    <w:lvl w:ilvl="6" w:tentative="0">
      <w:start w:val="1"/>
      <w:numFmt w:val="decimal"/>
      <w:pStyle w:val="11"/>
      <w:suff w:val="space"/>
      <w:lvlText w:val="%1.%2.%3.%4.%5.%6.%7"/>
      <w:lvlJc w:val="left"/>
      <w:pPr>
        <w:ind w:left="0" w:firstLine="0"/>
      </w:pPr>
      <w:rPr>
        <w:rFonts w:hint="eastAsia"/>
      </w:rPr>
    </w:lvl>
    <w:lvl w:ilvl="7" w:tentative="0">
      <w:start w:val="1"/>
      <w:numFmt w:val="decimal"/>
      <w:pStyle w:val="12"/>
      <w:suff w:val="space"/>
      <w:lvlText w:val="%1.%2.%3.%4.%5.%6.%7.%8"/>
      <w:lvlJc w:val="left"/>
      <w:pPr>
        <w:ind w:left="0" w:firstLine="0"/>
      </w:pPr>
      <w:rPr>
        <w:rFonts w:hint="eastAsia"/>
      </w:rPr>
    </w:lvl>
    <w:lvl w:ilvl="8" w:tentative="0">
      <w:start w:val="1"/>
      <w:numFmt w:val="decimal"/>
      <w:suff w:val="space"/>
      <w:lvlText w:val="%1.%2.%3.%4.%5.%6.%7.%8.%9"/>
      <w:lvlJc w:val="left"/>
      <w:pPr>
        <w:ind w:left="0" w:firstLine="0"/>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2"/>
  <w:embedSystemFonts/>
  <w:bordersDoNotSurroundHeader w:val="0"/>
  <w:bordersDoNotSurroundFooter w:val="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TYxNDM3NDQ0NThiMTljYjBhYTUzZjVlZTI3YjFkY2EifQ=="/>
  </w:docVars>
  <w:rsids>
    <w:rsidRoot w:val="00E1645B"/>
    <w:rsid w:val="00022676"/>
    <w:rsid w:val="000D0869"/>
    <w:rsid w:val="001022D2"/>
    <w:rsid w:val="00142036"/>
    <w:rsid w:val="00161B11"/>
    <w:rsid w:val="001C6D7A"/>
    <w:rsid w:val="001D39A1"/>
    <w:rsid w:val="002171B9"/>
    <w:rsid w:val="00223857"/>
    <w:rsid w:val="00265786"/>
    <w:rsid w:val="00327351"/>
    <w:rsid w:val="003447DB"/>
    <w:rsid w:val="003F2E3F"/>
    <w:rsid w:val="00405A5C"/>
    <w:rsid w:val="004A6D18"/>
    <w:rsid w:val="004F68E0"/>
    <w:rsid w:val="00505173"/>
    <w:rsid w:val="00661B23"/>
    <w:rsid w:val="0067536D"/>
    <w:rsid w:val="006D0F7F"/>
    <w:rsid w:val="00713A32"/>
    <w:rsid w:val="00761171"/>
    <w:rsid w:val="0077273E"/>
    <w:rsid w:val="007A1D5C"/>
    <w:rsid w:val="007D2C9D"/>
    <w:rsid w:val="00847482"/>
    <w:rsid w:val="009370AA"/>
    <w:rsid w:val="00970C9D"/>
    <w:rsid w:val="009B04E5"/>
    <w:rsid w:val="009C0D72"/>
    <w:rsid w:val="00A14FF3"/>
    <w:rsid w:val="00A6030F"/>
    <w:rsid w:val="00A75E46"/>
    <w:rsid w:val="00AD67D5"/>
    <w:rsid w:val="00BF6B73"/>
    <w:rsid w:val="00C214C8"/>
    <w:rsid w:val="00C32CAA"/>
    <w:rsid w:val="00C47C42"/>
    <w:rsid w:val="00C61475"/>
    <w:rsid w:val="00C62F87"/>
    <w:rsid w:val="00CA2A10"/>
    <w:rsid w:val="00DB7F51"/>
    <w:rsid w:val="00E1645B"/>
    <w:rsid w:val="00E9081A"/>
    <w:rsid w:val="00FB4C2C"/>
    <w:rsid w:val="00FE5A72"/>
    <w:rsid w:val="01A33E01"/>
    <w:rsid w:val="52D10731"/>
    <w:rsid w:val="53B65679"/>
    <w:rsid w:val="78C338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360" w:lineRule="auto"/>
    </w:pPr>
    <w:rPr>
      <w:rFonts w:ascii="Times New Roman" w:hAnsi="Times New Roman" w:eastAsia="宋体" w:cstheme="minorBidi"/>
      <w:sz w:val="28"/>
      <w:szCs w:val="24"/>
      <w:lang w:val="en-US" w:eastAsia="en-US" w:bidi="ar-SA"/>
    </w:rPr>
  </w:style>
  <w:style w:type="paragraph" w:styleId="2">
    <w:name w:val="heading 1"/>
    <w:basedOn w:val="1"/>
    <w:next w:val="3"/>
    <w:autoRedefine/>
    <w:qFormat/>
    <w:uiPriority w:val="9"/>
    <w:pPr>
      <w:keepNext/>
      <w:keepLines/>
      <w:pageBreakBefore/>
      <w:spacing w:before="480"/>
      <w:jc w:val="center"/>
      <w:outlineLvl w:val="0"/>
    </w:pPr>
    <w:rPr>
      <w:rFonts w:eastAsia="黑体" w:cstheme="majorBidi"/>
      <w:b/>
      <w:bCs/>
      <w:sz w:val="36"/>
      <w:szCs w:val="32"/>
    </w:rPr>
  </w:style>
  <w:style w:type="paragraph" w:styleId="5">
    <w:name w:val="heading 2"/>
    <w:basedOn w:val="1"/>
    <w:next w:val="3"/>
    <w:unhideWhenUsed/>
    <w:qFormat/>
    <w:uiPriority w:val="9"/>
    <w:pPr>
      <w:keepNext/>
      <w:keepLines/>
      <w:numPr>
        <w:ilvl w:val="0"/>
        <w:numId w:val="1"/>
      </w:numPr>
      <w:spacing w:before="300"/>
      <w:outlineLvl w:val="1"/>
    </w:pPr>
    <w:rPr>
      <w:rFonts w:eastAsia="黑体" w:cstheme="majorBidi"/>
      <w:b/>
      <w:bCs/>
      <w:sz w:val="32"/>
      <w:szCs w:val="32"/>
    </w:rPr>
  </w:style>
  <w:style w:type="paragraph" w:styleId="6">
    <w:name w:val="heading 3"/>
    <w:basedOn w:val="1"/>
    <w:next w:val="3"/>
    <w:unhideWhenUsed/>
    <w:qFormat/>
    <w:uiPriority w:val="9"/>
    <w:pPr>
      <w:keepNext/>
      <w:keepLines/>
      <w:numPr>
        <w:ilvl w:val="1"/>
        <w:numId w:val="1"/>
      </w:numPr>
      <w:spacing w:before="200"/>
      <w:outlineLvl w:val="2"/>
    </w:pPr>
    <w:rPr>
      <w:rFonts w:eastAsia="黑体" w:asciiTheme="majorHAnsi" w:hAnsiTheme="majorHAnsi" w:cstheme="majorBidi"/>
      <w:b/>
      <w:bCs/>
      <w:sz w:val="26"/>
      <w:szCs w:val="28"/>
    </w:rPr>
  </w:style>
  <w:style w:type="paragraph" w:styleId="7">
    <w:name w:val="heading 4"/>
    <w:basedOn w:val="1"/>
    <w:next w:val="3"/>
    <w:unhideWhenUsed/>
    <w:qFormat/>
    <w:uiPriority w:val="9"/>
    <w:pPr>
      <w:keepNext/>
      <w:keepLines/>
      <w:numPr>
        <w:ilvl w:val="2"/>
        <w:numId w:val="1"/>
      </w:numPr>
      <w:spacing w:before="200"/>
      <w:outlineLvl w:val="3"/>
    </w:pPr>
    <w:rPr>
      <w:rFonts w:eastAsia="黑体" w:asciiTheme="majorHAnsi" w:hAnsiTheme="majorHAnsi" w:cstheme="majorBidi"/>
      <w:bCs/>
    </w:rPr>
  </w:style>
  <w:style w:type="paragraph" w:styleId="8">
    <w:name w:val="heading 5"/>
    <w:basedOn w:val="1"/>
    <w:next w:val="3"/>
    <w:unhideWhenUsed/>
    <w:qFormat/>
    <w:uiPriority w:val="9"/>
    <w:pPr>
      <w:keepNext/>
      <w:keepLines/>
      <w:numPr>
        <w:ilvl w:val="3"/>
        <w:numId w:val="1"/>
      </w:numPr>
      <w:spacing w:before="200"/>
      <w:outlineLvl w:val="4"/>
    </w:pPr>
    <w:rPr>
      <w:rFonts w:eastAsia="黑体" w:asciiTheme="majorHAnsi" w:hAnsiTheme="majorHAnsi" w:cstheme="majorBidi"/>
      <w:iCs/>
    </w:rPr>
  </w:style>
  <w:style w:type="paragraph" w:styleId="9">
    <w:name w:val="heading 6"/>
    <w:basedOn w:val="1"/>
    <w:next w:val="3"/>
    <w:unhideWhenUsed/>
    <w:qFormat/>
    <w:uiPriority w:val="9"/>
    <w:pPr>
      <w:keepNext/>
      <w:keepLines/>
      <w:numPr>
        <w:ilvl w:val="4"/>
        <w:numId w:val="1"/>
      </w:numPr>
      <w:spacing w:before="200"/>
      <w:outlineLvl w:val="5"/>
    </w:pPr>
    <w:rPr>
      <w:rFonts w:eastAsia="黑体" w:asciiTheme="majorHAnsi" w:hAnsiTheme="majorHAnsi" w:cstheme="majorBidi"/>
    </w:rPr>
  </w:style>
  <w:style w:type="paragraph" w:styleId="10">
    <w:name w:val="heading 7"/>
    <w:basedOn w:val="1"/>
    <w:next w:val="3"/>
    <w:unhideWhenUsed/>
    <w:qFormat/>
    <w:uiPriority w:val="9"/>
    <w:pPr>
      <w:keepNext/>
      <w:keepLines/>
      <w:numPr>
        <w:ilvl w:val="5"/>
        <w:numId w:val="1"/>
      </w:numPr>
      <w:spacing w:before="200"/>
      <w:outlineLvl w:val="6"/>
    </w:pPr>
    <w:rPr>
      <w:rFonts w:asciiTheme="majorHAnsi" w:hAnsiTheme="majorHAnsi" w:eastAsiaTheme="majorEastAsia" w:cstheme="majorBidi"/>
      <w:color w:val="4F81BD" w:themeColor="accent1"/>
      <w14:textFill>
        <w14:solidFill>
          <w14:schemeClr w14:val="accent1"/>
        </w14:solidFill>
      </w14:textFill>
    </w:rPr>
  </w:style>
  <w:style w:type="paragraph" w:styleId="11">
    <w:name w:val="heading 8"/>
    <w:basedOn w:val="1"/>
    <w:next w:val="3"/>
    <w:unhideWhenUsed/>
    <w:qFormat/>
    <w:uiPriority w:val="9"/>
    <w:pPr>
      <w:keepNext/>
      <w:keepLines/>
      <w:numPr>
        <w:ilvl w:val="6"/>
        <w:numId w:val="1"/>
      </w:numPr>
      <w:spacing w:before="200"/>
      <w:outlineLvl w:val="7"/>
    </w:pPr>
    <w:rPr>
      <w:rFonts w:asciiTheme="majorHAnsi" w:hAnsiTheme="majorHAnsi" w:eastAsiaTheme="majorEastAsia" w:cstheme="majorBidi"/>
      <w:color w:val="4F81BD" w:themeColor="accent1"/>
      <w14:textFill>
        <w14:solidFill>
          <w14:schemeClr w14:val="accent1"/>
        </w14:solidFill>
      </w14:textFill>
    </w:rPr>
  </w:style>
  <w:style w:type="paragraph" w:styleId="12">
    <w:name w:val="heading 9"/>
    <w:basedOn w:val="1"/>
    <w:next w:val="3"/>
    <w:unhideWhenUsed/>
    <w:qFormat/>
    <w:uiPriority w:val="9"/>
    <w:pPr>
      <w:keepNext/>
      <w:keepLines/>
      <w:numPr>
        <w:ilvl w:val="7"/>
        <w:numId w:val="1"/>
      </w:numPr>
      <w:spacing w:before="200"/>
      <w:outlineLvl w:val="8"/>
    </w:pPr>
    <w:rPr>
      <w:rFonts w:asciiTheme="majorHAnsi" w:hAnsiTheme="majorHAnsi" w:eastAsiaTheme="majorEastAsia" w:cstheme="majorBidi"/>
      <w:color w:val="4F81BD" w:themeColor="accent1"/>
      <w14:textFill>
        <w14:solidFill>
          <w14:schemeClr w14:val="accent1"/>
        </w14:solidFill>
      </w14:textFill>
    </w:rPr>
  </w:style>
  <w:style w:type="character" w:default="1" w:styleId="22">
    <w:name w:val="Default Paragraph Font"/>
    <w:semiHidden/>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3">
    <w:name w:val="Body Text"/>
    <w:basedOn w:val="4"/>
    <w:link w:val="71"/>
    <w:qFormat/>
    <w:uiPriority w:val="0"/>
  </w:style>
  <w:style w:type="paragraph" w:customStyle="1" w:styleId="4">
    <w:name w:val="First Paragraph"/>
    <w:basedOn w:val="1"/>
    <w:next w:val="3"/>
    <w:autoRedefine/>
    <w:qFormat/>
    <w:uiPriority w:val="0"/>
    <w:pPr>
      <w:spacing w:before="180"/>
      <w:ind w:firstLine="480" w:firstLineChars="200"/>
    </w:pPr>
    <w:rPr>
      <w:lang w:eastAsia="zh-CN"/>
    </w:rPr>
  </w:style>
  <w:style w:type="paragraph" w:styleId="13">
    <w:name w:val="caption"/>
    <w:basedOn w:val="1"/>
    <w:link w:val="24"/>
    <w:autoRedefine/>
    <w:qFormat/>
    <w:uiPriority w:val="0"/>
    <w:pPr>
      <w:spacing w:after="120"/>
      <w:jc w:val="center"/>
    </w:pPr>
  </w:style>
  <w:style w:type="paragraph" w:styleId="14">
    <w:name w:val="Block Text"/>
    <w:basedOn w:val="1"/>
    <w:unhideWhenUsed/>
    <w:qFormat/>
    <w:uiPriority w:val="9"/>
    <w:pPr>
      <w:pBdr>
        <w:left w:val="single" w:color="BEBEBE" w:themeColor="background1" w:themeShade="BF" w:sz="48" w:space="4"/>
        <w:right w:val="single" w:color="BEBEBE" w:themeColor="background1" w:themeShade="BF" w:sz="48" w:space="4"/>
      </w:pBdr>
      <w:shd w:val="clear" w:color="auto" w:fill="F1F1F1" w:themeFill="background1" w:themeFillShade="F2"/>
      <w:spacing w:before="100"/>
      <w:ind w:firstLine="200" w:firstLineChars="200"/>
    </w:pPr>
    <w:rPr>
      <w:rFonts w:eastAsiaTheme="minorEastAsia"/>
      <w:lang w:eastAsia="zh-CN"/>
    </w:rPr>
  </w:style>
  <w:style w:type="paragraph" w:styleId="15">
    <w:name w:val="Date"/>
    <w:next w:val="3"/>
    <w:qFormat/>
    <w:uiPriority w:val="0"/>
    <w:pPr>
      <w:keepNext/>
      <w:keepLines/>
      <w:spacing w:after="200"/>
      <w:jc w:val="center"/>
    </w:pPr>
    <w:rPr>
      <w:rFonts w:asciiTheme="minorHAnsi" w:hAnsiTheme="minorHAnsi" w:eastAsiaTheme="minorEastAsia" w:cstheme="minorBidi"/>
      <w:sz w:val="24"/>
      <w:szCs w:val="24"/>
      <w:lang w:val="en-US" w:eastAsia="en-US" w:bidi="ar-SA"/>
    </w:rPr>
  </w:style>
  <w:style w:type="paragraph" w:styleId="16">
    <w:name w:val="footer"/>
    <w:basedOn w:val="1"/>
    <w:link w:val="73"/>
    <w:qFormat/>
    <w:uiPriority w:val="99"/>
    <w:pPr>
      <w:tabs>
        <w:tab w:val="center" w:pos="4153"/>
        <w:tab w:val="right" w:pos="8306"/>
      </w:tabs>
      <w:snapToGrid w:val="0"/>
    </w:pPr>
    <w:rPr>
      <w:sz w:val="18"/>
      <w:szCs w:val="18"/>
    </w:rPr>
  </w:style>
  <w:style w:type="paragraph" w:styleId="17">
    <w:name w:val="header"/>
    <w:basedOn w:val="1"/>
    <w:link w:val="72"/>
    <w:autoRedefine/>
    <w:qFormat/>
    <w:uiPriority w:val="0"/>
    <w:pPr>
      <w:tabs>
        <w:tab w:val="center" w:pos="4153"/>
        <w:tab w:val="right" w:pos="8306"/>
      </w:tabs>
      <w:snapToGrid w:val="0"/>
      <w:jc w:val="center"/>
    </w:pPr>
    <w:rPr>
      <w:sz w:val="18"/>
      <w:szCs w:val="18"/>
    </w:rPr>
  </w:style>
  <w:style w:type="paragraph" w:styleId="18">
    <w:name w:val="Subtitle"/>
    <w:basedOn w:val="19"/>
    <w:next w:val="3"/>
    <w:qFormat/>
    <w:uiPriority w:val="0"/>
    <w:pPr>
      <w:spacing w:before="240"/>
    </w:pPr>
    <w:rPr>
      <w:sz w:val="30"/>
      <w:szCs w:val="30"/>
    </w:rPr>
  </w:style>
  <w:style w:type="paragraph" w:styleId="19">
    <w:name w:val="Title"/>
    <w:basedOn w:val="1"/>
    <w:next w:val="3"/>
    <w:qFormat/>
    <w:uiPriority w:val="0"/>
    <w:pPr>
      <w:keepNext/>
      <w:keepLines/>
      <w:spacing w:before="480" w:after="240"/>
      <w:jc w:val="center"/>
    </w:pPr>
    <w:rPr>
      <w:rFonts w:asciiTheme="majorHAnsi" w:hAnsiTheme="majorHAnsi" w:eastAsiaTheme="majorEastAsia" w:cstheme="majorBidi"/>
      <w:b/>
      <w:bCs/>
      <w:color w:val="345B8A" w:themeColor="accent1" w:themeShade="B5"/>
      <w:sz w:val="36"/>
      <w:szCs w:val="36"/>
    </w:rPr>
  </w:style>
  <w:style w:type="paragraph" w:styleId="20">
    <w:name w:val="footnote text"/>
    <w:basedOn w:val="1"/>
    <w:autoRedefine/>
    <w:unhideWhenUsed/>
    <w:qFormat/>
    <w:uiPriority w:val="9"/>
  </w:style>
  <w:style w:type="character" w:styleId="23">
    <w:name w:val="Hyperlink"/>
    <w:basedOn w:val="24"/>
    <w:autoRedefine/>
    <w:qFormat/>
    <w:uiPriority w:val="0"/>
    <w:rPr>
      <w:rFonts w:ascii="Times New Roman" w:hAnsi="Times New Roman" w:eastAsia="宋体"/>
      <w:color w:val="0070C0"/>
    </w:rPr>
  </w:style>
  <w:style w:type="character" w:customStyle="1" w:styleId="24">
    <w:name w:val="题注 字符"/>
    <w:basedOn w:val="22"/>
    <w:link w:val="13"/>
    <w:autoRedefine/>
    <w:qFormat/>
    <w:uiPriority w:val="0"/>
    <w:rPr>
      <w:rFonts w:ascii="Times New Roman" w:hAnsi="Times New Roman" w:eastAsia="宋体"/>
    </w:rPr>
  </w:style>
  <w:style w:type="character" w:styleId="25">
    <w:name w:val="footnote reference"/>
    <w:basedOn w:val="24"/>
    <w:autoRedefine/>
    <w:qFormat/>
    <w:uiPriority w:val="0"/>
    <w:rPr>
      <w:rFonts w:ascii="Times New Roman" w:hAnsi="Times New Roman" w:eastAsia="宋体"/>
      <w:vertAlign w:val="superscript"/>
    </w:rPr>
  </w:style>
  <w:style w:type="paragraph" w:customStyle="1" w:styleId="26">
    <w:name w:val="Compact"/>
    <w:basedOn w:val="3"/>
    <w:autoRedefine/>
    <w:qFormat/>
    <w:uiPriority w:val="0"/>
    <w:pPr>
      <w:spacing w:before="60" w:after="60"/>
      <w:ind w:firstLine="0" w:firstLineChars="0"/>
      <w:jc w:val="center"/>
    </w:pPr>
  </w:style>
  <w:style w:type="paragraph" w:customStyle="1" w:styleId="27">
    <w:name w:val="Author"/>
    <w:next w:val="3"/>
    <w:qFormat/>
    <w:uiPriority w:val="0"/>
    <w:pPr>
      <w:keepNext/>
      <w:keepLines/>
      <w:spacing w:after="200"/>
      <w:jc w:val="center"/>
    </w:pPr>
    <w:rPr>
      <w:rFonts w:asciiTheme="minorHAnsi" w:hAnsiTheme="minorHAnsi" w:eastAsiaTheme="minorEastAsia" w:cstheme="minorBidi"/>
      <w:sz w:val="24"/>
      <w:szCs w:val="24"/>
      <w:lang w:val="en-US" w:eastAsia="en-US" w:bidi="ar-SA"/>
    </w:rPr>
  </w:style>
  <w:style w:type="paragraph" w:customStyle="1" w:styleId="28">
    <w:name w:val="Abstract"/>
    <w:basedOn w:val="1"/>
    <w:next w:val="3"/>
    <w:autoRedefine/>
    <w:qFormat/>
    <w:uiPriority w:val="0"/>
    <w:pPr>
      <w:keepNext/>
      <w:keepLines/>
      <w:spacing w:before="300" w:after="300"/>
    </w:pPr>
    <w:rPr>
      <w:sz w:val="20"/>
      <w:szCs w:val="20"/>
    </w:rPr>
  </w:style>
  <w:style w:type="paragraph" w:customStyle="1" w:styleId="29">
    <w:name w:val="Bibliography"/>
    <w:basedOn w:val="1"/>
    <w:autoRedefine/>
    <w:qFormat/>
    <w:uiPriority w:val="0"/>
    <w:pPr>
      <w:tabs>
        <w:tab w:val="left" w:pos="384"/>
      </w:tabs>
      <w:spacing w:line="240" w:lineRule="auto"/>
      <w:ind w:left="200" w:hanging="200" w:hangingChars="200"/>
    </w:pPr>
  </w:style>
  <w:style w:type="table" w:customStyle="1" w:styleId="30">
    <w:name w:val="Table"/>
    <w:autoRedefine/>
    <w:semiHidden/>
    <w:unhideWhenUsed/>
    <w:qFormat/>
    <w:uiPriority w:val="0"/>
    <w:pPr>
      <w:jc w:val="center"/>
    </w:pPr>
    <w:rPr>
      <w:rFonts w:ascii="Times New Roman" w:hAnsi="Times New Roman" w:eastAsia="宋体"/>
      <w:sz w:val="20"/>
      <w:szCs w:val="20"/>
      <w:lang w:eastAsia="zh-CN"/>
    </w:rPr>
    <w:tblPr>
      <w:jc w:val="center"/>
      <w:tblBorders>
        <w:top w:val="single" w:color="auto" w:sz="12" w:space="0"/>
        <w:bottom w:val="single" w:color="auto" w:sz="12" w:space="0"/>
      </w:tblBorders>
      <w:tblCellMar>
        <w:top w:w="0" w:type="dxa"/>
        <w:left w:w="108" w:type="dxa"/>
        <w:bottom w:w="0" w:type="dxa"/>
        <w:right w:w="108" w:type="dxa"/>
      </w:tblCellMar>
    </w:tblPr>
    <w:trPr>
      <w:jc w:val="center"/>
    </w:trPr>
    <w:tcPr>
      <w:vAlign w:val="center"/>
    </w:tcPr>
    <w:tblStylePr w:type="firstRow">
      <w:rPr>
        <w:rFonts w:eastAsia="宋体"/>
        <w:b/>
        <w:i w:val="0"/>
      </w:rPr>
      <w:tcPr>
        <w:tcBorders>
          <w:bottom w:val="single" w:color="auto" w:sz="4" w:space="0"/>
        </w:tcBorders>
      </w:tcPr>
    </w:tblStylePr>
  </w:style>
  <w:style w:type="paragraph" w:customStyle="1" w:styleId="31">
    <w:name w:val="Definition Term"/>
    <w:basedOn w:val="1"/>
    <w:next w:val="32"/>
    <w:qFormat/>
    <w:uiPriority w:val="0"/>
    <w:pPr>
      <w:keepNext/>
      <w:keepLines/>
    </w:pPr>
    <w:rPr>
      <w:b/>
    </w:rPr>
  </w:style>
  <w:style w:type="paragraph" w:customStyle="1" w:styleId="32">
    <w:name w:val="Definition"/>
    <w:basedOn w:val="1"/>
    <w:qFormat/>
    <w:uiPriority w:val="0"/>
  </w:style>
  <w:style w:type="paragraph" w:customStyle="1" w:styleId="33">
    <w:name w:val="Table Caption"/>
    <w:basedOn w:val="13"/>
    <w:autoRedefine/>
    <w:qFormat/>
    <w:uiPriority w:val="0"/>
    <w:pPr>
      <w:keepNext/>
    </w:pPr>
  </w:style>
  <w:style w:type="paragraph" w:customStyle="1" w:styleId="34">
    <w:name w:val="Image Caption"/>
    <w:basedOn w:val="13"/>
    <w:qFormat/>
    <w:uiPriority w:val="0"/>
  </w:style>
  <w:style w:type="paragraph" w:customStyle="1" w:styleId="35">
    <w:name w:val="Figure"/>
    <w:basedOn w:val="1"/>
    <w:autoRedefine/>
    <w:qFormat/>
    <w:uiPriority w:val="0"/>
  </w:style>
  <w:style w:type="paragraph" w:customStyle="1" w:styleId="36">
    <w:name w:val="Captioned Figure"/>
    <w:basedOn w:val="35"/>
    <w:autoRedefine/>
    <w:qFormat/>
    <w:uiPriority w:val="0"/>
    <w:pPr>
      <w:keepNext/>
    </w:pPr>
  </w:style>
  <w:style w:type="character" w:customStyle="1" w:styleId="37">
    <w:name w:val="Verbatim Char"/>
    <w:basedOn w:val="24"/>
    <w:link w:val="38"/>
    <w:qFormat/>
    <w:uiPriority w:val="0"/>
    <w:rPr>
      <w:rFonts w:ascii="Times New Roman" w:hAnsi="Times New Roman" w:eastAsia="宋体" w:cs="Times New Roman (正文 CS 字体)"/>
      <w:color w:val="404040" w:themeColor="text1" w:themeTint="BF"/>
      <w:sz w:val="21"/>
      <w:shd w:val="pct5" w:color="auto" w:fill="auto"/>
      <w:lang w:eastAsia="zh-CN"/>
      <w14:textFill>
        <w14:solidFill>
          <w14:schemeClr w14:val="tx1">
            <w14:lumMod w14:val="75000"/>
            <w14:lumOff w14:val="25000"/>
          </w14:schemeClr>
        </w14:solidFill>
      </w14:textFill>
    </w:rPr>
  </w:style>
  <w:style w:type="paragraph" w:customStyle="1" w:styleId="38">
    <w:name w:val="Source Code"/>
    <w:basedOn w:val="1"/>
    <w:link w:val="37"/>
    <w:autoRedefine/>
    <w:qFormat/>
    <w:uiPriority w:val="0"/>
    <w:pPr>
      <w:pBdr>
        <w:top w:val="single" w:color="BEBEBE" w:themeColor="background1" w:themeShade="BF" w:sz="8" w:space="10"/>
        <w:left w:val="single" w:color="BEBEBE" w:themeColor="background1" w:themeShade="BF" w:sz="8" w:space="10"/>
        <w:bottom w:val="single" w:color="BEBEBE" w:themeColor="background1" w:themeShade="BF" w:sz="8" w:space="10"/>
        <w:right w:val="single" w:color="BEBEBE" w:themeColor="background1" w:themeShade="BF" w:sz="8" w:space="10"/>
      </w:pBdr>
      <w:shd w:val="pct5" w:color="auto" w:fill="auto"/>
      <w:wordWrap w:val="0"/>
    </w:pPr>
    <w:rPr>
      <w:rFonts w:ascii="Times New Roman" w:hAnsi="Times New Roman" w:cs="Times New Roman (正文 CS 字体)"/>
      <w:color w:val="404040" w:themeColor="text1" w:themeTint="BF"/>
      <w:shd w:val="pct5" w:color="auto" w:fill="auto"/>
      <w:lang w:eastAsia="zh-CN"/>
      <w14:textFill>
        <w14:solidFill>
          <w14:schemeClr w14:val="tx1">
            <w14:lumMod w14:val="75000"/>
            <w14:lumOff w14:val="25000"/>
          </w14:schemeClr>
        </w14:solidFill>
      </w14:textFill>
    </w:rPr>
  </w:style>
  <w:style w:type="paragraph" w:customStyle="1" w:styleId="39">
    <w:name w:val="TOC Heading"/>
    <w:basedOn w:val="2"/>
    <w:next w:val="3"/>
    <w:unhideWhenUsed/>
    <w:qFormat/>
    <w:uiPriority w:val="39"/>
    <w:pPr>
      <w:spacing w:before="240" w:line="259" w:lineRule="auto"/>
      <w:outlineLvl w:val="9"/>
    </w:pPr>
    <w:rPr>
      <w:b w:val="0"/>
      <w:bCs w:val="0"/>
      <w:color w:val="376092" w:themeColor="accent1" w:themeShade="BF"/>
    </w:rPr>
  </w:style>
  <w:style w:type="character" w:customStyle="1" w:styleId="40">
    <w:name w:val="KeywordTok"/>
    <w:basedOn w:val="37"/>
    <w:qFormat/>
    <w:uiPriority w:val="0"/>
    <w:rPr>
      <w:rFonts w:ascii="Consolas" w:hAnsi="Consolas" w:eastAsia="宋体" w:cs="Times New Roman (正文 CS 字体)"/>
      <w:b/>
      <w:color w:val="007020"/>
      <w:sz w:val="22"/>
      <w:shd w:val="pct5" w:color="auto" w:fill="auto"/>
      <w:lang w:eastAsia="zh-CN"/>
    </w:rPr>
  </w:style>
  <w:style w:type="character" w:customStyle="1" w:styleId="41">
    <w:name w:val="DataTypeTok"/>
    <w:basedOn w:val="37"/>
    <w:qFormat/>
    <w:uiPriority w:val="0"/>
    <w:rPr>
      <w:rFonts w:ascii="Consolas" w:hAnsi="Consolas" w:eastAsia="宋体" w:cs="Times New Roman (正文 CS 字体)"/>
      <w:color w:val="902000"/>
      <w:sz w:val="22"/>
      <w:shd w:val="pct5" w:color="auto" w:fill="auto"/>
      <w:lang w:eastAsia="zh-CN"/>
    </w:rPr>
  </w:style>
  <w:style w:type="character" w:customStyle="1" w:styleId="42">
    <w:name w:val="DecValTok"/>
    <w:basedOn w:val="37"/>
    <w:uiPriority w:val="0"/>
    <w:rPr>
      <w:rFonts w:ascii="Consolas" w:hAnsi="Consolas" w:eastAsia="宋体" w:cs="Times New Roman (正文 CS 字体)"/>
      <w:color w:val="40A070"/>
      <w:sz w:val="22"/>
      <w:shd w:val="pct5" w:color="auto" w:fill="auto"/>
      <w:lang w:eastAsia="zh-CN"/>
    </w:rPr>
  </w:style>
  <w:style w:type="character" w:customStyle="1" w:styleId="43">
    <w:name w:val="BaseNTok"/>
    <w:basedOn w:val="37"/>
    <w:autoRedefine/>
    <w:qFormat/>
    <w:uiPriority w:val="0"/>
    <w:rPr>
      <w:rFonts w:ascii="Consolas" w:hAnsi="Consolas" w:eastAsia="宋体" w:cs="Times New Roman (正文 CS 字体)"/>
      <w:color w:val="40A070"/>
      <w:sz w:val="22"/>
      <w:shd w:val="pct5" w:color="auto" w:fill="auto"/>
      <w:lang w:eastAsia="zh-CN"/>
    </w:rPr>
  </w:style>
  <w:style w:type="character" w:customStyle="1" w:styleId="44">
    <w:name w:val="FloatTok"/>
    <w:basedOn w:val="37"/>
    <w:qFormat/>
    <w:uiPriority w:val="0"/>
    <w:rPr>
      <w:rFonts w:ascii="Consolas" w:hAnsi="Consolas" w:eastAsia="宋体" w:cs="Times New Roman (正文 CS 字体)"/>
      <w:color w:val="40A070"/>
      <w:sz w:val="22"/>
      <w:shd w:val="pct5" w:color="auto" w:fill="auto"/>
      <w:lang w:eastAsia="zh-CN"/>
    </w:rPr>
  </w:style>
  <w:style w:type="character" w:customStyle="1" w:styleId="45">
    <w:name w:val="ConstantTok"/>
    <w:basedOn w:val="37"/>
    <w:autoRedefine/>
    <w:qFormat/>
    <w:uiPriority w:val="0"/>
    <w:rPr>
      <w:rFonts w:ascii="Consolas" w:hAnsi="Consolas" w:eastAsia="宋体" w:cs="Times New Roman (正文 CS 字体)"/>
      <w:color w:val="880000"/>
      <w:sz w:val="22"/>
      <w:shd w:val="pct5" w:color="auto" w:fill="auto"/>
      <w:lang w:eastAsia="zh-CN"/>
    </w:rPr>
  </w:style>
  <w:style w:type="character" w:customStyle="1" w:styleId="46">
    <w:name w:val="CharTok"/>
    <w:basedOn w:val="37"/>
    <w:qFormat/>
    <w:uiPriority w:val="0"/>
    <w:rPr>
      <w:rFonts w:ascii="Consolas" w:hAnsi="Consolas" w:eastAsia="宋体" w:cs="Times New Roman (正文 CS 字体)"/>
      <w:color w:val="4070A0"/>
      <w:sz w:val="22"/>
      <w:shd w:val="pct5" w:color="auto" w:fill="auto"/>
      <w:lang w:eastAsia="zh-CN"/>
    </w:rPr>
  </w:style>
  <w:style w:type="character" w:customStyle="1" w:styleId="47">
    <w:name w:val="SpecialCharTok"/>
    <w:basedOn w:val="37"/>
    <w:qFormat/>
    <w:uiPriority w:val="0"/>
    <w:rPr>
      <w:rFonts w:ascii="Consolas" w:hAnsi="Consolas" w:eastAsia="宋体" w:cs="Times New Roman (正文 CS 字体)"/>
      <w:color w:val="4070A0"/>
      <w:sz w:val="22"/>
      <w:shd w:val="pct5" w:color="auto" w:fill="auto"/>
      <w:lang w:eastAsia="zh-CN"/>
    </w:rPr>
  </w:style>
  <w:style w:type="character" w:customStyle="1" w:styleId="48">
    <w:name w:val="StringTok"/>
    <w:basedOn w:val="37"/>
    <w:autoRedefine/>
    <w:qFormat/>
    <w:uiPriority w:val="0"/>
    <w:rPr>
      <w:rFonts w:ascii="Consolas" w:hAnsi="Consolas" w:eastAsia="宋体" w:cs="Times New Roman (正文 CS 字体)"/>
      <w:color w:val="4070A0"/>
      <w:sz w:val="22"/>
      <w:shd w:val="pct5" w:color="auto" w:fill="auto"/>
      <w:lang w:eastAsia="zh-CN"/>
    </w:rPr>
  </w:style>
  <w:style w:type="character" w:customStyle="1" w:styleId="49">
    <w:name w:val="VerbatimStringTok"/>
    <w:basedOn w:val="37"/>
    <w:autoRedefine/>
    <w:qFormat/>
    <w:uiPriority w:val="0"/>
    <w:rPr>
      <w:rFonts w:ascii="Consolas" w:hAnsi="Consolas" w:eastAsia="宋体" w:cs="Times New Roman (正文 CS 字体)"/>
      <w:color w:val="4070A0"/>
      <w:sz w:val="22"/>
      <w:shd w:val="pct5" w:color="auto" w:fill="auto"/>
      <w:lang w:eastAsia="zh-CN"/>
    </w:rPr>
  </w:style>
  <w:style w:type="character" w:customStyle="1" w:styleId="50">
    <w:name w:val="SpecialStringTok"/>
    <w:basedOn w:val="37"/>
    <w:autoRedefine/>
    <w:qFormat/>
    <w:uiPriority w:val="0"/>
    <w:rPr>
      <w:rFonts w:ascii="Consolas" w:hAnsi="Consolas" w:eastAsia="宋体" w:cs="Times New Roman (正文 CS 字体)"/>
      <w:color w:val="BB6688"/>
      <w:sz w:val="22"/>
      <w:shd w:val="pct5" w:color="auto" w:fill="auto"/>
      <w:lang w:eastAsia="zh-CN"/>
    </w:rPr>
  </w:style>
  <w:style w:type="character" w:customStyle="1" w:styleId="51">
    <w:name w:val="ImportTok"/>
    <w:basedOn w:val="37"/>
    <w:autoRedefine/>
    <w:qFormat/>
    <w:uiPriority w:val="0"/>
    <w:rPr>
      <w:rFonts w:ascii="Consolas" w:hAnsi="Consolas" w:eastAsia="宋体" w:cs="Times New Roman (正文 CS 字体)"/>
      <w:color w:val="404040" w:themeColor="text1" w:themeTint="BF"/>
      <w:sz w:val="22"/>
      <w:shd w:val="pct5" w:color="auto" w:fill="auto"/>
      <w:lang w:eastAsia="zh-CN"/>
      <w14:textFill>
        <w14:solidFill>
          <w14:schemeClr w14:val="tx1">
            <w14:lumMod w14:val="75000"/>
            <w14:lumOff w14:val="25000"/>
          </w14:schemeClr>
        </w14:solidFill>
      </w14:textFill>
    </w:rPr>
  </w:style>
  <w:style w:type="character" w:customStyle="1" w:styleId="52">
    <w:name w:val="CommentTok"/>
    <w:basedOn w:val="37"/>
    <w:qFormat/>
    <w:uiPriority w:val="0"/>
    <w:rPr>
      <w:rFonts w:ascii="Consolas" w:hAnsi="Consolas" w:eastAsia="宋体" w:cs="Times New Roman (正文 CS 字体)"/>
      <w:i/>
      <w:color w:val="60A0B0"/>
      <w:sz w:val="22"/>
      <w:shd w:val="pct5" w:color="auto" w:fill="auto"/>
      <w:lang w:eastAsia="zh-CN"/>
    </w:rPr>
  </w:style>
  <w:style w:type="character" w:customStyle="1" w:styleId="53">
    <w:name w:val="DocumentationTok"/>
    <w:basedOn w:val="37"/>
    <w:autoRedefine/>
    <w:qFormat/>
    <w:uiPriority w:val="0"/>
    <w:rPr>
      <w:rFonts w:ascii="Consolas" w:hAnsi="Consolas" w:eastAsia="宋体" w:cs="Times New Roman (正文 CS 字体)"/>
      <w:i/>
      <w:color w:val="BA2121"/>
      <w:sz w:val="22"/>
      <w:shd w:val="pct5" w:color="auto" w:fill="auto"/>
      <w:lang w:eastAsia="zh-CN"/>
    </w:rPr>
  </w:style>
  <w:style w:type="character" w:customStyle="1" w:styleId="54">
    <w:name w:val="AnnotationTok"/>
    <w:basedOn w:val="37"/>
    <w:qFormat/>
    <w:uiPriority w:val="0"/>
    <w:rPr>
      <w:rFonts w:ascii="Consolas" w:hAnsi="Consolas" w:eastAsia="宋体" w:cs="Times New Roman (正文 CS 字体)"/>
      <w:b/>
      <w:i/>
      <w:color w:val="60A0B0"/>
      <w:sz w:val="22"/>
      <w:shd w:val="pct5" w:color="auto" w:fill="auto"/>
      <w:lang w:eastAsia="zh-CN"/>
    </w:rPr>
  </w:style>
  <w:style w:type="character" w:customStyle="1" w:styleId="55">
    <w:name w:val="CommentVarTok"/>
    <w:basedOn w:val="37"/>
    <w:autoRedefine/>
    <w:qFormat/>
    <w:uiPriority w:val="0"/>
    <w:rPr>
      <w:rFonts w:ascii="Consolas" w:hAnsi="Consolas" w:eastAsia="宋体" w:cs="Times New Roman (正文 CS 字体)"/>
      <w:b/>
      <w:i/>
      <w:color w:val="60A0B0"/>
      <w:sz w:val="22"/>
      <w:shd w:val="pct5" w:color="auto" w:fill="auto"/>
      <w:lang w:eastAsia="zh-CN"/>
    </w:rPr>
  </w:style>
  <w:style w:type="character" w:customStyle="1" w:styleId="56">
    <w:name w:val="OtherTok"/>
    <w:basedOn w:val="37"/>
    <w:autoRedefine/>
    <w:qFormat/>
    <w:uiPriority w:val="0"/>
    <w:rPr>
      <w:rFonts w:ascii="Consolas" w:hAnsi="Consolas" w:eastAsia="宋体" w:cs="Times New Roman (正文 CS 字体)"/>
      <w:color w:val="007020"/>
      <w:sz w:val="22"/>
      <w:shd w:val="pct5" w:color="auto" w:fill="auto"/>
      <w:lang w:eastAsia="zh-CN"/>
    </w:rPr>
  </w:style>
  <w:style w:type="character" w:customStyle="1" w:styleId="57">
    <w:name w:val="FunctionTok"/>
    <w:basedOn w:val="37"/>
    <w:autoRedefine/>
    <w:qFormat/>
    <w:uiPriority w:val="0"/>
    <w:rPr>
      <w:rFonts w:ascii="Consolas" w:hAnsi="Consolas" w:eastAsia="宋体" w:cs="Times New Roman (正文 CS 字体)"/>
      <w:color w:val="06287E"/>
      <w:sz w:val="22"/>
      <w:shd w:val="pct5" w:color="auto" w:fill="auto"/>
      <w:lang w:eastAsia="zh-CN"/>
    </w:rPr>
  </w:style>
  <w:style w:type="character" w:customStyle="1" w:styleId="58">
    <w:name w:val="VariableTok"/>
    <w:basedOn w:val="37"/>
    <w:autoRedefine/>
    <w:qFormat/>
    <w:uiPriority w:val="0"/>
    <w:rPr>
      <w:rFonts w:ascii="Consolas" w:hAnsi="Consolas" w:eastAsia="宋体" w:cs="Times New Roman (正文 CS 字体)"/>
      <w:color w:val="19177C"/>
      <w:sz w:val="22"/>
      <w:shd w:val="pct5" w:color="auto" w:fill="auto"/>
      <w:lang w:eastAsia="zh-CN"/>
    </w:rPr>
  </w:style>
  <w:style w:type="character" w:customStyle="1" w:styleId="59">
    <w:name w:val="ControlFlowTok"/>
    <w:basedOn w:val="37"/>
    <w:autoRedefine/>
    <w:qFormat/>
    <w:uiPriority w:val="0"/>
    <w:rPr>
      <w:rFonts w:ascii="Consolas" w:hAnsi="Consolas" w:eastAsia="宋体" w:cs="Times New Roman (正文 CS 字体)"/>
      <w:b/>
      <w:color w:val="007020"/>
      <w:sz w:val="22"/>
      <w:shd w:val="pct5" w:color="auto" w:fill="auto"/>
      <w:lang w:eastAsia="zh-CN"/>
    </w:rPr>
  </w:style>
  <w:style w:type="character" w:customStyle="1" w:styleId="60">
    <w:name w:val="OperatorTok"/>
    <w:basedOn w:val="37"/>
    <w:autoRedefine/>
    <w:qFormat/>
    <w:uiPriority w:val="0"/>
    <w:rPr>
      <w:rFonts w:ascii="Consolas" w:hAnsi="Consolas" w:eastAsia="宋体" w:cs="Times New Roman (正文 CS 字体)"/>
      <w:color w:val="666666"/>
      <w:sz w:val="22"/>
      <w:shd w:val="pct5" w:color="auto" w:fill="auto"/>
      <w:lang w:eastAsia="zh-CN"/>
    </w:rPr>
  </w:style>
  <w:style w:type="character" w:customStyle="1" w:styleId="61">
    <w:name w:val="BuiltInTok"/>
    <w:basedOn w:val="37"/>
    <w:qFormat/>
    <w:uiPriority w:val="0"/>
    <w:rPr>
      <w:rFonts w:ascii="Consolas" w:hAnsi="Consolas" w:eastAsia="宋体" w:cs="Times New Roman (正文 CS 字体)"/>
      <w:color w:val="404040" w:themeColor="text1" w:themeTint="BF"/>
      <w:sz w:val="22"/>
      <w:shd w:val="pct5" w:color="auto" w:fill="auto"/>
      <w:lang w:eastAsia="zh-CN"/>
      <w14:textFill>
        <w14:solidFill>
          <w14:schemeClr w14:val="tx1">
            <w14:lumMod w14:val="75000"/>
            <w14:lumOff w14:val="25000"/>
          </w14:schemeClr>
        </w14:solidFill>
      </w14:textFill>
    </w:rPr>
  </w:style>
  <w:style w:type="character" w:customStyle="1" w:styleId="62">
    <w:name w:val="ExtensionTok"/>
    <w:basedOn w:val="37"/>
    <w:autoRedefine/>
    <w:qFormat/>
    <w:uiPriority w:val="0"/>
    <w:rPr>
      <w:rFonts w:ascii="Consolas" w:hAnsi="Consolas" w:eastAsia="宋体" w:cs="Times New Roman (正文 CS 字体)"/>
      <w:color w:val="404040" w:themeColor="text1" w:themeTint="BF"/>
      <w:sz w:val="22"/>
      <w:shd w:val="pct5" w:color="auto" w:fill="auto"/>
      <w:lang w:eastAsia="zh-CN"/>
      <w14:textFill>
        <w14:solidFill>
          <w14:schemeClr w14:val="tx1">
            <w14:lumMod w14:val="75000"/>
            <w14:lumOff w14:val="25000"/>
          </w14:schemeClr>
        </w14:solidFill>
      </w14:textFill>
    </w:rPr>
  </w:style>
  <w:style w:type="character" w:customStyle="1" w:styleId="63">
    <w:name w:val="PreprocessorTok"/>
    <w:basedOn w:val="37"/>
    <w:autoRedefine/>
    <w:qFormat/>
    <w:uiPriority w:val="0"/>
    <w:rPr>
      <w:rFonts w:ascii="Consolas" w:hAnsi="Consolas" w:eastAsia="宋体" w:cs="Times New Roman (正文 CS 字体)"/>
      <w:color w:val="BC7A00"/>
      <w:sz w:val="22"/>
      <w:shd w:val="pct5" w:color="auto" w:fill="auto"/>
      <w:lang w:eastAsia="zh-CN"/>
    </w:rPr>
  </w:style>
  <w:style w:type="character" w:customStyle="1" w:styleId="64">
    <w:name w:val="AttributeTok"/>
    <w:basedOn w:val="37"/>
    <w:autoRedefine/>
    <w:qFormat/>
    <w:uiPriority w:val="0"/>
    <w:rPr>
      <w:rFonts w:ascii="Consolas" w:hAnsi="Consolas" w:eastAsia="宋体" w:cs="Times New Roman (正文 CS 字体)"/>
      <w:color w:val="7D9029"/>
      <w:sz w:val="22"/>
      <w:shd w:val="pct5" w:color="auto" w:fill="auto"/>
      <w:lang w:eastAsia="zh-CN"/>
    </w:rPr>
  </w:style>
  <w:style w:type="character" w:customStyle="1" w:styleId="65">
    <w:name w:val="RegionMarkerTok"/>
    <w:basedOn w:val="37"/>
    <w:autoRedefine/>
    <w:qFormat/>
    <w:uiPriority w:val="0"/>
    <w:rPr>
      <w:rFonts w:ascii="Consolas" w:hAnsi="Consolas" w:eastAsia="宋体" w:cs="Times New Roman (正文 CS 字体)"/>
      <w:color w:val="404040" w:themeColor="text1" w:themeTint="BF"/>
      <w:sz w:val="22"/>
      <w:shd w:val="pct5" w:color="auto" w:fill="auto"/>
      <w:lang w:eastAsia="zh-CN"/>
      <w14:textFill>
        <w14:solidFill>
          <w14:schemeClr w14:val="tx1">
            <w14:lumMod w14:val="75000"/>
            <w14:lumOff w14:val="25000"/>
          </w14:schemeClr>
        </w14:solidFill>
      </w14:textFill>
    </w:rPr>
  </w:style>
  <w:style w:type="character" w:customStyle="1" w:styleId="66">
    <w:name w:val="InformationTok"/>
    <w:basedOn w:val="37"/>
    <w:qFormat/>
    <w:uiPriority w:val="0"/>
    <w:rPr>
      <w:rFonts w:ascii="Consolas" w:hAnsi="Consolas" w:eastAsia="宋体" w:cs="Times New Roman (正文 CS 字体)"/>
      <w:b/>
      <w:i/>
      <w:color w:val="60A0B0"/>
      <w:sz w:val="22"/>
      <w:shd w:val="pct5" w:color="auto" w:fill="auto"/>
      <w:lang w:eastAsia="zh-CN"/>
    </w:rPr>
  </w:style>
  <w:style w:type="character" w:customStyle="1" w:styleId="67">
    <w:name w:val="WarningTok"/>
    <w:basedOn w:val="37"/>
    <w:autoRedefine/>
    <w:qFormat/>
    <w:uiPriority w:val="0"/>
    <w:rPr>
      <w:rFonts w:ascii="Consolas" w:hAnsi="Consolas" w:eastAsia="宋体" w:cs="Times New Roman (正文 CS 字体)"/>
      <w:b/>
      <w:i/>
      <w:color w:val="60A0B0"/>
      <w:sz w:val="22"/>
      <w:shd w:val="pct5" w:color="auto" w:fill="auto"/>
      <w:lang w:eastAsia="zh-CN"/>
    </w:rPr>
  </w:style>
  <w:style w:type="character" w:customStyle="1" w:styleId="68">
    <w:name w:val="AlertTok"/>
    <w:basedOn w:val="37"/>
    <w:autoRedefine/>
    <w:qFormat/>
    <w:uiPriority w:val="0"/>
    <w:rPr>
      <w:rFonts w:ascii="Consolas" w:hAnsi="Consolas" w:eastAsia="宋体" w:cs="Times New Roman (正文 CS 字体)"/>
      <w:b/>
      <w:color w:val="FF0000"/>
      <w:sz w:val="22"/>
      <w:shd w:val="pct5" w:color="auto" w:fill="auto"/>
      <w:lang w:eastAsia="zh-CN"/>
    </w:rPr>
  </w:style>
  <w:style w:type="character" w:customStyle="1" w:styleId="69">
    <w:name w:val="ErrorTok"/>
    <w:basedOn w:val="37"/>
    <w:qFormat/>
    <w:uiPriority w:val="0"/>
    <w:rPr>
      <w:rFonts w:ascii="Consolas" w:hAnsi="Consolas" w:eastAsia="宋体" w:cs="Times New Roman (正文 CS 字体)"/>
      <w:b/>
      <w:color w:val="FF0000"/>
      <w:sz w:val="22"/>
      <w:shd w:val="pct5" w:color="auto" w:fill="auto"/>
      <w:lang w:eastAsia="zh-CN"/>
    </w:rPr>
  </w:style>
  <w:style w:type="character" w:customStyle="1" w:styleId="70">
    <w:name w:val="NormalTok"/>
    <w:basedOn w:val="37"/>
    <w:qFormat/>
    <w:uiPriority w:val="0"/>
    <w:rPr>
      <w:rFonts w:ascii="Consolas" w:hAnsi="Consolas" w:eastAsia="宋体" w:cs="Times New Roman (正文 CS 字体)"/>
      <w:color w:val="404040" w:themeColor="text1" w:themeTint="BF"/>
      <w:sz w:val="22"/>
      <w:shd w:val="pct5" w:color="auto" w:fill="auto"/>
      <w:lang w:eastAsia="zh-CN"/>
      <w14:textFill>
        <w14:solidFill>
          <w14:schemeClr w14:val="tx1">
            <w14:lumMod w14:val="75000"/>
            <w14:lumOff w14:val="25000"/>
          </w14:schemeClr>
        </w14:solidFill>
      </w14:textFill>
    </w:rPr>
  </w:style>
  <w:style w:type="character" w:customStyle="1" w:styleId="71">
    <w:name w:val="正文文本 字符"/>
    <w:basedOn w:val="22"/>
    <w:link w:val="3"/>
    <w:qFormat/>
    <w:uiPriority w:val="0"/>
    <w:rPr>
      <w:rFonts w:ascii="Times New Roman" w:hAnsi="Times New Roman" w:eastAsia="宋体"/>
      <w:lang w:eastAsia="zh-CN"/>
    </w:rPr>
  </w:style>
  <w:style w:type="character" w:customStyle="1" w:styleId="72">
    <w:name w:val="页眉 字符"/>
    <w:basedOn w:val="22"/>
    <w:link w:val="17"/>
    <w:autoRedefine/>
    <w:qFormat/>
    <w:uiPriority w:val="0"/>
    <w:rPr>
      <w:sz w:val="18"/>
      <w:szCs w:val="18"/>
    </w:rPr>
  </w:style>
  <w:style w:type="character" w:customStyle="1" w:styleId="73">
    <w:name w:val="页脚 字符"/>
    <w:basedOn w:val="22"/>
    <w:link w:val="16"/>
    <w:qFormat/>
    <w:uiPriority w:val="99"/>
    <w:rPr>
      <w:sz w:val="18"/>
      <w:szCs w:val="18"/>
    </w:rPr>
  </w:style>
  <w:style w:type="paragraph" w:customStyle="1" w:styleId="74">
    <w:name w:val="图片"/>
    <w:basedOn w:val="4"/>
    <w:autoRedefine/>
    <w:qFormat/>
    <w:uiPriority w:val="0"/>
    <w:pPr>
      <w:keepNext/>
      <w:jc w:val="center"/>
    </w:pPr>
  </w:style>
  <w:style w:type="paragraph" w:customStyle="1" w:styleId="75">
    <w:name w:val="样式 Compact + 10 磅 首行缩进:  0.71 厘米"/>
    <w:basedOn w:val="26"/>
    <w:autoRedefine/>
    <w:qFormat/>
    <w:uiPriority w:val="0"/>
    <w:rPr>
      <w:rFonts w:cs="宋体"/>
      <w:sz w:val="20"/>
      <w:szCs w:val="20"/>
    </w:rPr>
  </w:style>
  <w:style w:type="paragraph" w:customStyle="1" w:styleId="76">
    <w:name w:val="样式 Compact + 10 磅 加粗 首行缩进:  0.71 厘米"/>
    <w:basedOn w:val="26"/>
    <w:autoRedefine/>
    <w:qFormat/>
    <w:uiPriority w:val="0"/>
    <w:rPr>
      <w:rFonts w:cs="宋体"/>
      <w:bCs/>
      <w:sz w:val="20"/>
      <w:szCs w:val="20"/>
    </w:rPr>
  </w:style>
  <w:style w:type="paragraph" w:customStyle="1" w:styleId="77">
    <w:name w:val="img"/>
    <w:basedOn w:val="1"/>
    <w:autoRedefine/>
    <w:qFormat/>
    <w:uiPriority w:val="0"/>
    <w:pPr>
      <w:jc w:val="center"/>
    </w:pPr>
    <w:rPr>
      <w:lang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13</Pages>
  <Words>1576</Words>
  <Characters>2008</Characters>
  <Lines>40</Lines>
  <Paragraphs>11</Paragraphs>
  <TotalTime>93</TotalTime>
  <ScaleCrop>false</ScaleCrop>
  <LinksUpToDate>false</LinksUpToDate>
  <CharactersWithSpaces>2021</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2024-06-16T08:59:00Z</dcterms:created>
  <dc:creator>WPS_1714449182</dc:creator>
  <cp:lastModifiedBy>Shepherd</cp:lastModifiedBy>
  <dcterms:modified xsi:type="dcterms:W3CDTF">2025-06-06T12:40:10Z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ICV">
    <vt:lpwstr>DC08DA89D46E4D54AAA5D37B2BBF445C_12</vt:lpwstr>
  </property>
  <property fmtid="{D5CDD505-2E9C-101B-9397-08002B2CF9AE}" pid="4" name="KSOTemplateDocerSaveRecord">
    <vt:lpwstr>eyJoZGlkIjoiOWZjNjg5ODUwZjJjMTA4NTdkY2JjZWU3MTcxZmNjNTEiLCJ1c2VySWQiOiIxNTk1ODczNDI1In0=</vt:lpwstr>
  </property>
</Properties>
</file>