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AMENDMENT NO. 1 TO SAAS MASTER SERVICES AGREEMENT</w:t>
      </w:r>
    </w:p>
    <w:p>
      <w:r>
        <w:t>Agreement Reference: SaaS-MSA-2025-NVT-0012</w:t>
      </w:r>
    </w:p>
    <w:p>
      <w:r>
        <w:t>Amendment Effective Date: January 1, 2026</w:t>
      </w:r>
    </w:p>
    <w:p>
      <w:r>
        <w:t>This Amendment No. 1 is entered into by Acme Corp (Client) and NovaTech Solutions (Provider) and amends the SaaS Master Services Agreement dated January 1, 2025. Except as modified herein, all other terms remain in effect.</w:t>
      </w:r>
    </w:p>
    <w:p>
      <w:pPr>
        <w:pStyle w:val="Heading1"/>
      </w:pPr>
      <w:r>
        <w:t>Section 1 — Purpose</w:t>
      </w:r>
    </w:p>
    <w:p>
      <w:r>
        <w:t>Following a competitive pricing review and updated infrastructure costs, the parties agree to revise unit pricing and discount terms for select SKUs effective Q1 2026.</w:t>
      </w:r>
    </w:p>
    <w:p>
      <w:pPr>
        <w:pStyle w:val="Heading1"/>
      </w:pPr>
      <w:r>
        <w:t>Section 2 — Revised Unit Pricing</w:t>
      </w:r>
    </w:p>
    <w:p>
      <w:r>
        <w:t>Effective January 1, 2026, the unit price for SKU SRV-101 (Cloud Storage) is REVISED from $0.08 per GB to $0.06 per GB per month. This amendment supersedes the base contract price stated in the Master Services Agreement and in saas_pricing.xlsx (Base Pricing sheet). All other SKU unit prices remain unchanged.</w:t>
      </w:r>
    </w:p>
    <w:p>
      <w:pPr>
        <w:pStyle w:val="Heading1"/>
      </w:pPr>
      <w:r>
        <w:t>Section 3 — Revised Discount Schedule</w:t>
      </w:r>
    </w:p>
    <w:p>
      <w:r>
        <w:t>Effective January 1, 2026, the following discount changes apply: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SKU</w:t>
            </w:r>
          </w:p>
        </w:tc>
        <w:tc>
          <w:tcPr>
            <w:tcW w:type="dxa" w:w="2160"/>
          </w:tcPr>
          <w:p>
            <w:r>
              <w:rPr>
                <w:b/>
              </w:rPr>
              <w:t>Service</w:t>
            </w:r>
          </w:p>
        </w:tc>
        <w:tc>
          <w:tcPr>
            <w:tcW w:type="dxa" w:w="2160"/>
          </w:tcPr>
          <w:p>
            <w:r>
              <w:rPr>
                <w:b/>
              </w:rPr>
              <w:t>Old Discount</w:t>
            </w:r>
          </w:p>
        </w:tc>
        <w:tc>
          <w:tcPr>
            <w:tcW w:type="dxa" w:w="2160"/>
          </w:tcPr>
          <w:p>
            <w:r>
              <w:rPr>
                <w:b/>
              </w:rPr>
              <w:t>New Discount (effective 2026-01-01)</w:t>
            </w:r>
          </w:p>
        </w:tc>
      </w:tr>
      <w:tr>
        <w:tc>
          <w:tcPr>
            <w:tcW w:type="dxa" w:w="2160"/>
          </w:tcPr>
          <w:p>
            <w:r>
              <w:t>LIC-404</w:t>
            </w:r>
          </w:p>
        </w:tc>
        <w:tc>
          <w:tcPr>
            <w:tcW w:type="dxa" w:w="2160"/>
          </w:tcPr>
          <w:p>
            <w:r>
              <w:t>Software Licenses</w:t>
            </w:r>
          </w:p>
        </w:tc>
        <w:tc>
          <w:tcPr>
            <w:tcW w:type="dxa" w:w="2160"/>
          </w:tcPr>
          <w:p>
            <w:r>
              <w:t>15%</w:t>
            </w:r>
          </w:p>
        </w:tc>
        <w:tc>
          <w:tcPr>
            <w:tcW w:type="dxa" w:w="2160"/>
          </w:tcPr>
          <w:p>
            <w:r>
              <w:t>20%</w:t>
            </w:r>
          </w:p>
        </w:tc>
      </w:tr>
    </w:tbl>
    <w:p>
      <w:r>
        <w:t>The revised discounts supersede the rates in saas_pricing.xlsx (Base Pricing and Discounts &amp; Amendments sheets). Invoices submitted after January 1, 2026 must reflect the updated rates.</w:t>
      </w:r>
    </w:p>
    <w:p>
      <w:pPr>
        <w:pStyle w:val="Heading1"/>
      </w:pPr>
      <w:r>
        <w:t>Section 4 — No Other Changes</w:t>
      </w:r>
    </w:p>
    <w:p>
      <w:r>
        <w:t>Except as expressly modified above, all terms and conditions of SaaS-MSA-2025-NVT-0012, including Exhibit A (saas_pricing.xlsx), remain in full force and effect.</w:t>
      </w:r>
    </w:p>
    <w:p>
      <w:pPr>
        <w:pStyle w:val="Heading1"/>
      </w:pPr>
      <w:r>
        <w:t>Section 5 — Signatures</w:t>
      </w:r>
    </w:p>
    <w:p>
      <w:r>
        <w:t>Acme Corp:            ________________________    Date: 2026-01-01</w:t>
      </w:r>
    </w:p>
    <w:p>
      <w:r>
        <w:t>NovaTech Solutions:   ________________________    Date: 2026-01-01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