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Heading1"/>
        <w:jc w:val="center"/>
      </w:pPr>
      <w:r>
        <w:rPr>
          <w:rFonts w:ascii="TH Sarabun PSK" w:hAnsi="TH Sarabun PSK"/>
          <w:b/>
          <w:i w:val="0"/>
          <w:sz w:val="44"/>
        </w:rPr>
        <w:t>บทที่ 4: ผลการทดลองและการวิเคราะห์ข้อมูล (Results and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sz w:val="32"/>
        </w:rPr>
        <w:t>3 Repeats</w:t>
      </w:r>
      <w:r>
        <w:rPr>
          <w:rFonts w:ascii="TH Sarabun PSK" w:hAnsi="TH Sarabun PSK"/>
          <w:b w:val="0"/>
          <w:i w:val="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sz w:val="30"/>
        </w:rPr>
        <w:t>Qwen2.5-7B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Courier New" w:hAnsi="Courier New"/>
          <w:sz w:val="30"/>
        </w:rPr>
        <w:t>Typhoon2-8B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Courier New" w:hAnsi="Courier New"/>
          <w:sz w:val="30"/>
        </w:rPr>
        <w:t>Typhoon-Gemma3-4B</w:t>
      </w:r>
      <w:r>
        <w:rPr>
          <w:rFonts w:ascii="TH Sarabun PSK" w:hAnsi="TH Sarabun PSK"/>
          <w:b w:val="0"/>
          <w:i w:val="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sz w:val="32"/>
        </w:rPr>
        <w:t>6,840 หน่วยการทดลอง (6,840 Evaluation Units)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การรายงานผลแบ่งออกเป็น 9 ส่วนหลัก ได้แก่: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กรอบการประเมินผลและข้อมูลที่ใช้ (Evaluation Framework &amp; Dataset Protocols)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ผลการประเมิน Contextual Polarity Gate (Sentence Polarity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4. </w:t>
      </w:r>
      <w:r>
        <w:rPr>
          <w:rFonts w:ascii="TH Sarabun PSK" w:hAnsi="TH Sarabun PSK"/>
          <w:b/>
          <w:sz w:val="32"/>
        </w:rPr>
        <w:t>ผลการเปรียบเทียบแบบจำลองภาษาในชั้น L2 (L2 LLM Backbone Comparison)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5. </w:t>
      </w:r>
      <w:r>
        <w:rPr>
          <w:rFonts w:ascii="TH Sarabun PSK" w:hAnsi="TH Sarabun PSK"/>
          <w:b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6. </w:t>
      </w:r>
      <w:r>
        <w:rPr>
          <w:rFonts w:ascii="TH Sarabun PSK" w:hAnsi="TH Sarabun PSK"/>
          <w:b/>
          <w:sz w:val="32"/>
        </w:rPr>
        <w:t>ผลการทดสอบความทนทานต่อกรณีศึกษาท้าทาย (Adversarial Stress Test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7. </w:t>
      </w:r>
      <w:r>
        <w:rPr>
          <w:rFonts w:ascii="TH Sarabun PSK" w:hAnsi="TH Sarabun PSK"/>
          <w:b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8. </w:t>
      </w:r>
      <w:r>
        <w:rPr>
          <w:rFonts w:ascii="TH Sarabun PSK" w:hAnsi="TH Sarabun PSK"/>
          <w:b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9. </w:t>
      </w:r>
      <w:r>
        <w:rPr>
          <w:rFonts w:ascii="TH Sarabun PSK" w:hAnsi="TH Sarabun PSK"/>
          <w:b/>
          <w:sz w:val="32"/>
        </w:rPr>
        <w:t>ข้อจำกัดของการทดลองและการตีความผล (Limitations &amp; Interpretation Constraints)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4.1 กรอบการประเมินผลและข้อมูลที่ใช้ (Evaluation Protocols)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4.1.1 ชุดข้อมูลและการจัดการ Data Leakage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ชุดข้อมูลทดสอบหลัก </w:t>
      </w:r>
      <w:r>
        <w:rPr>
          <w:rFonts w:ascii="Courier New" w:hAnsi="Courier New"/>
          <w:sz w:val="30"/>
        </w:rPr>
        <w:t>expanded_ground_truth.json</w:t>
      </w:r>
      <w:r>
        <w:rPr>
          <w:rFonts w:ascii="TH Sarabun PSK" w:hAnsi="TH Sarabun PSK"/>
          <w:b w:val="0"/>
          <w:i w:val="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sz w:val="32"/>
        </w:rPr>
        <w:t>95 กรณีศึกษา</w:t>
      </w:r>
      <w:r>
        <w:rPr>
          <w:rFonts w:ascii="TH Sarabun PSK" w:hAnsi="TH Sarabun PSK"/>
          <w:b w:val="0"/>
          <w:i w:val="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sz w:val="30"/>
        </w:rPr>
        <w:t>ground_truth_audit</w:t>
      </w:r>
      <w:r>
        <w:rPr>
          <w:rFonts w:ascii="TH Sarabun PSK" w:hAnsi="TH Sarabun PSK"/>
          <w:b w:val="0"/>
          <w:i w:val="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4.1 สรุปข้อกำหนดการประเมินผล (Evaluation Benchmark Protocol)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4.2 ผลการประเมิน Contextual Polarity Gate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4.2 ผลการประเมินประสิทธิภาพของ Contextual Polarity Gate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sz w:val="32"/>
        </w:rPr>
        <w:t>100.0% (6/6 เคส)</w:t>
      </w:r>
      <w:r>
        <w:rPr>
          <w:rFonts w:ascii="TH Sarabun PSK" w:hAnsi="TH Sarabun PSK"/>
          <w:b w:val="0"/>
          <w:i w:val="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sz w:val="32"/>
        </w:rPr>
        <w:t>66.7% (4/6 เคส)</w:t>
      </w:r>
      <w:r>
        <w:rPr>
          <w:rFonts w:ascii="TH Sarabun PSK" w:hAnsi="TH Sarabun PSK"/>
          <w:b w:val="0"/>
          <w:i w:val="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sz w:val="32"/>
        </w:rPr>
        <w:t>50.0% (3/6 เคส)</w:t>
      </w:r>
      <w:r>
        <w:rPr>
          <w:rFonts w:ascii="TH Sarabun PSK" w:hAnsi="TH Sarabun PSK"/>
          <w:b w:val="0"/>
          <w:i w:val="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การวิเคราะห์ผลเชิงประจักษ์: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sz w:val="32"/>
        </w:rPr>
        <w:t xml:space="preserve"> กลยุทธ์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sz w:val="32"/>
        </w:rPr>
        <w:t>MAP = 0.2467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b/>
          <w:sz w:val="32"/>
        </w:rPr>
        <w:t>MRR = 0.2801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TH Sarabun PSK" w:hAnsi="TH Sarabun PSK"/>
          <w:b/>
          <w:sz w:val="32"/>
        </w:rPr>
        <w:t>nDCG@5 = 0.2485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TH Sarabun PSK" w:hAnsi="TH Sarabun PSK"/>
          <w:b/>
          <w:sz w:val="32"/>
        </w:rPr>
        <w:t>nDCG@10 = 0.2734</w:t>
      </w:r>
      <w:r>
        <w:rPr>
          <w:rFonts w:ascii="TH Sarabun PSK" w:hAnsi="TH Sarabun PSK"/>
          <w:b w:val="0"/>
          <w:i w:val="0"/>
          <w:sz w:val="32"/>
        </w:rPr>
        <w:t xml:space="preserve"> สูงกว่า Baseline ดั้งเดิมทุกตัวอย่างเห็นได้ชัด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sz w:val="32"/>
        </w:rPr>
        <w:t xml:space="preserve"> เมื่อเปรียบเทียบ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กับ </w:t>
      </w:r>
      <w:r>
        <w:rPr>
          <w:rFonts w:ascii="Courier New" w:hAnsi="Courier New"/>
          <w:sz w:val="30"/>
        </w:rPr>
        <w:t>basic</w:t>
      </w:r>
      <w:r>
        <w:rPr>
          <w:rFonts w:ascii="TH Sarabun PSK" w:hAnsi="TH Sarabun PSK"/>
          <w:b w:val="0"/>
          <w:i w:val="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sz w:val="30"/>
        </w:rPr>
        <w:t>0.2565</w:t>
      </w:r>
      <w:r>
        <w:rPr>
          <w:rFonts w:ascii="TH Sarabun PSK" w:hAnsi="TH Sarabun PSK"/>
          <w:b w:val="0"/>
          <w:i w:val="0"/>
          <w:sz w:val="32"/>
        </w:rPr>
        <w:t xml:space="preserve"> เป็น </w:t>
      </w:r>
      <w:r>
        <w:rPr>
          <w:rFonts w:ascii="Courier New" w:hAnsi="Courier New"/>
          <w:sz w:val="30"/>
        </w:rPr>
        <w:t>0.2734</w:t>
      </w:r>
      <w:r>
        <w:rPr>
          <w:rFonts w:ascii="TH Sarabun PSK" w:hAnsi="TH Sarabun PSK"/>
          <w:b w:val="0"/>
          <w:i w:val="0"/>
          <w:sz w:val="32"/>
        </w:rPr>
        <w:t xml:space="preserve"> (+6.6%) และเพิ่ม MAP จาก </w:t>
      </w:r>
      <w:r>
        <w:rPr>
          <w:rFonts w:ascii="Courier New" w:hAnsi="Courier New"/>
          <w:sz w:val="30"/>
        </w:rPr>
        <w:t>0.2346</w:t>
      </w:r>
      <w:r>
        <w:rPr>
          <w:rFonts w:ascii="TH Sarabun PSK" w:hAnsi="TH Sarabun PSK"/>
          <w:b w:val="0"/>
          <w:i w:val="0"/>
          <w:sz w:val="32"/>
        </w:rPr>
        <w:t xml:space="preserve"> เป็น </w:t>
      </w:r>
      <w:r>
        <w:rPr>
          <w:rFonts w:ascii="Courier New" w:hAnsi="Courier New"/>
          <w:sz w:val="30"/>
        </w:rPr>
        <w:t>0.2467</w:t>
      </w:r>
      <w:r>
        <w:rPr>
          <w:rFonts w:ascii="TH Sarabun PSK" w:hAnsi="TH Sarabun PSK"/>
          <w:b w:val="0"/>
          <w:i w:val="0"/>
          <w:sz w:val="32"/>
        </w:rPr>
        <w:t xml:space="preserve"> (+5.2%)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4.3.2 ผลการทดสอบนัยสำคัญทางสถิติ (Statistical Significance Testing on n=95)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sz w:val="30"/>
        </w:rPr>
        <w:t>bm25_only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Courier New" w:hAnsi="Courier New"/>
          <w:sz w:val="30"/>
        </w:rPr>
        <w:t>basic</w:t>
      </w:r>
      <w:r>
        <w:rPr>
          <w:rFonts w:ascii="TH Sarabun PSK" w:hAnsi="TH Sarabun PSK"/>
          <w:b w:val="0"/>
          <w:i w:val="0"/>
          <w:sz w:val="32"/>
        </w:rPr>
        <w:t xml:space="preserve"> และ </w:t>
      </w:r>
      <w:r>
        <w:rPr>
          <w:rFonts w:ascii="Courier New" w:hAnsi="Courier New"/>
          <w:sz w:val="30"/>
        </w:rPr>
        <w:t>h2l-bm25</w:t>
      </w:r>
      <w:r>
        <w:rPr>
          <w:rFonts w:ascii="TH Sarabun PSK" w:hAnsi="TH Sarabun PSK"/>
          <w:b w:val="0"/>
          <w:i w:val="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4.A</w:t>
      </w:r>
      <w:r>
        <w:rPr>
          <w:rFonts w:ascii="TH Sarabun PSK" w:hAnsi="TH Sarabun PSK"/>
          <w:b w:val="0"/>
          <w:i w:val="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4.B</w:t>
      </w:r>
      <w:r>
        <w:rPr>
          <w:rFonts w:ascii="TH Sarabun PSK" w:hAnsi="TH Sarabun PSK"/>
          <w:b w:val="0"/>
          <w:i w:val="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![รูปที่ 4.A ผลต่าง nDCG@5 รายเคส](../output/figures_ch4/fig_4a_paired_diff.png)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![รูปที่ 4.B Forest Plot Holm-corrected](../output/figures_ch4/fig_4b_forest_plot.png)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4.4 ผลการเปรียบเทียบแบบจำลองภาษาในชั้น L2 (L2 LLM Backbone Comparison)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sz w:val="30"/>
        </w:rPr>
        <w:t>Qwen2.5-7B</w:t>
      </w:r>
      <w:r>
        <w:rPr>
          <w:rFonts w:ascii="TH Sarabun PSK" w:hAnsi="TH Sarabun PSK"/>
          <w:b w:val="0"/>
          <w:i w:val="0"/>
          <w:sz w:val="32"/>
        </w:rPr>
        <w:t xml:space="preserve">, </w:t>
      </w:r>
      <w:r>
        <w:rPr>
          <w:rFonts w:ascii="Courier New" w:hAnsi="Courier New"/>
          <w:sz w:val="30"/>
        </w:rPr>
        <w:t>Typhoon2-8B</w:t>
      </w:r>
      <w:r>
        <w:rPr>
          <w:rFonts w:ascii="TH Sarabun PSK" w:hAnsi="TH Sarabun PSK"/>
          <w:b w:val="0"/>
          <w:i w:val="0"/>
          <w:sz w:val="32"/>
        </w:rPr>
        <w:t xml:space="preserve">, และ </w:t>
      </w:r>
      <w:r>
        <w:rPr>
          <w:rFonts w:ascii="Courier New" w:hAnsi="Courier New"/>
          <w:sz w:val="30"/>
        </w:rPr>
        <w:t>Typhoon-Gemma3-4B</w:t>
      </w:r>
      <w:r>
        <w:rPr>
          <w:rFonts w:ascii="TH Sarabun PSK" w:hAnsi="TH Sarabun PSK"/>
          <w:b w:val="0"/>
          <w:i w:val="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การวิเคราะห์ผล: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sz w:val="32"/>
        </w:rPr>
        <w:t xml:space="preserve"> ทั้ง 3 โมเดลทำค่า Macro F1 (</w:t>
      </w:r>
      <w:r>
        <w:rPr>
          <w:rFonts w:ascii="Courier New" w:hAnsi="Courier New"/>
          <w:sz w:val="30"/>
        </w:rPr>
        <w:t>0.3815–0.3823</w:t>
      </w:r>
      <w:r>
        <w:rPr>
          <w:rFonts w:ascii="TH Sarabun PSK" w:hAnsi="TH Sarabun PSK"/>
          <w:b w:val="0"/>
          <w:i w:val="0"/>
          <w:sz w:val="32"/>
        </w:rPr>
        <w:t>) และ Micro F1 (</w:t>
      </w:r>
      <w:r>
        <w:rPr>
          <w:rFonts w:ascii="Courier New" w:hAnsi="Courier New"/>
          <w:sz w:val="30"/>
        </w:rPr>
        <w:t>0.3937</w:t>
      </w:r>
      <w:r>
        <w:rPr>
          <w:rFonts w:ascii="TH Sarabun PSK" w:hAnsi="TH Sarabun PSK"/>
          <w:b w:val="0"/>
          <w:i w:val="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sz w:val="32"/>
        </w:rPr>
        <w:t xml:space="preserve"> </w:t>
      </w:r>
      <w:r>
        <w:rPr>
          <w:rFonts w:ascii="Courier New" w:hAnsi="Courier New"/>
          <w:sz w:val="30"/>
        </w:rPr>
        <w:t>Qwen 2.5 (7B)</w:t>
      </w:r>
      <w:r>
        <w:rPr>
          <w:rFonts w:ascii="TH Sarabun PSK" w:hAnsi="TH Sarabun PSK"/>
          <w:b w:val="0"/>
          <w:i w:val="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sz w:val="30"/>
        </w:rPr>
        <w:t>Gemma3-4B</w:t>
      </w:r>
      <w:r>
        <w:rPr>
          <w:rFonts w:ascii="TH Sarabun PSK" w:hAnsi="TH Sarabun PSK"/>
          <w:b w:val="0"/>
          <w:i w:val="0"/>
          <w:sz w:val="32"/>
        </w:rPr>
        <w:t xml:space="preserve"> (19.60 วินาที) และ </w:t>
      </w:r>
      <w:r>
        <w:rPr>
          <w:rFonts w:ascii="Courier New" w:hAnsi="Courier New"/>
          <w:sz w:val="30"/>
        </w:rPr>
        <w:t>Typhoon2-8B</w:t>
      </w:r>
      <w:r>
        <w:rPr>
          <w:rFonts w:ascii="TH Sarabun PSK" w:hAnsi="TH Sarabun PSK"/>
          <w:b w:val="0"/>
          <w:i w:val="0"/>
          <w:sz w:val="32"/>
        </w:rPr>
        <w:t xml:space="preserve"> (27.01 วินาที)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4.5.1 ผลการวิเคราะห์องค์ประกอบย่อย (Component Ablation Analysis)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4.6 ผลการวิเคราะห์องค์ประกอบย่อย H2L V6 Components (n=95 เคส)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ผลนี้บ่งชี้ว่า </w:t>
      </w:r>
      <w:r>
        <w:rPr>
          <w:rFonts w:ascii="TH Sarabun PSK" w:hAnsi="TH Sarabun PSK"/>
          <w:b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 การทดสอบเพิ่มเติมที่ออกแบบไว้เพื่อเปรียบเทียบ severity-weighted Bayesian prior กับ uniform prior ยืนยันข้อค้นพบนี้: ทั้งสองเงื่อนไขให้ผลเหมือนกันทุกตัวชี้วัดทุกกรณีศึกษา (ค่าต่างสัมบูรณ์สูงสุด $= 0.000$) เนื่องจาก </w:t>
      </w:r>
      <w:r>
        <w:rPr>
          <w:rFonts w:ascii="Courier New" w:hAnsi="Courier New"/>
          <w:sz w:val="30"/>
        </w:rPr>
        <w:t>w/o Bayesian Prior</w:t>
      </w:r>
      <w:r>
        <w:rPr>
          <w:rFonts w:ascii="TH Sarabun PSK" w:hAnsi="TH Sarabun PSK"/>
          <w:b w:val="0"/>
          <w:i w:val="0"/>
          <w:sz w:val="32"/>
        </w:rPr>
        <w:t xml:space="preserve"> ในตารางที่ 4.6 ให้ nDCG@5 $= 0.2442$ เท่ากับ Full V6 ทุกกรณีศึกษา จึงยังไม่มีหลักฐานเชิงประจักษ์ว่า severity-weighted prior ส่งผลต่ออันดับเอกสารบนชุดทดสอบนี้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4.D</w:t>
      </w:r>
      <w:r>
        <w:rPr>
          <w:rFonts w:ascii="TH Sarabun PSK" w:hAnsi="TH Sarabun PSK"/>
          <w:b w:val="0"/>
          <w:i w:val="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![รูปที่ 4.D การแยกกันของคะแนนและอันดับ](../output/figures_ch4/fig_4d_decoupling.png)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4.5.5 ผลการทดสอบความเป็นสากลของชั้น H2L ข้ามสถาปัตยกรรม (RQ5)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4.10 ผลการทดสอบ H2L เป็น Post-Processing Layer ข้ามสถาปัตยกรรม (n=95 เคส)</w:t>
      </w:r>
    </w:p>
    <w:p>
      <w:pPr>
        <w:pStyle w:val="Normal"/>
        <w:jc w:val="left"/>
      </w:pPr>
      <w:r>
        <w:rPr>
          <w:rFonts w:ascii="TH Sarabun PSK" w:hAnsi="TH Sarabun PSK"/>
          <w:i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ข้อค้นพบ:</w:t>
      </w:r>
      <w:r>
        <w:rPr>
          <w:rFonts w:ascii="TH Sarabun PSK" w:hAnsi="TH Sarabun PSK"/>
          <w:b w:val="0"/>
          <w:i w:val="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ที่ nDCG@10 คู่ </w:t>
      </w:r>
      <w:r>
        <w:rPr>
          <w:rFonts w:ascii="Courier New" w:hAnsi="Courier New"/>
          <w:sz w:val="30"/>
        </w:rPr>
        <w:t>basic → h2l-hybrid</w:t>
      </w:r>
      <w:r>
        <w:rPr>
          <w:rFonts w:ascii="TH Sarabun PSK" w:hAnsi="TH Sarabun PSK"/>
          <w:b w:val="0"/>
          <w:i w:val="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ข้อสังเกตเพิ่มเติม: คู่ </w:t>
      </w:r>
      <w:r>
        <w:rPr>
          <w:rFonts w:ascii="Courier New" w:hAnsi="Courier New"/>
          <w:sz w:val="30"/>
        </w:rPr>
        <w:t>bm25_only → h2l-bm25</w:t>
      </w:r>
      <w:r>
        <w:rPr>
          <w:rFonts w:ascii="TH Sarabun PSK" w:hAnsi="TH Sarabun PSK"/>
          <w:b w:val="0"/>
          <w:i w:val="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4.5.2 ผลการวิเคราะห์ความไวของพารามิเตอร์ (Parameter Sensitivity)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sz w:val="32"/>
        </w:rPr>
        <w:t>2.25%</w:t>
      </w:r>
      <w:r>
        <w:rPr>
          <w:rFonts w:ascii="TH Sarabun PSK" w:hAnsi="TH Sarabun PSK"/>
          <w:b w:val="0"/>
          <w:i w:val="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L1+L2 detection</w:t>
      </w:r>
      <w:r>
        <w:rPr>
          <w:rFonts w:ascii="TH Sarabun PSK" w:hAnsi="TH Sarabun PSK"/>
          <w:b w:val="0"/>
          <w:i w:val="0"/>
          <w:sz w:val="32"/>
        </w:rPr>
        <w:t>: ผลลัพธ์จาก L1 keyword detection ผ่านการกรองและ validate ด้วย L2 LLM (Qwen2.5-7B)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• </w:t>
      </w:r>
      <w:r>
        <w:rPr>
          <w:rFonts w:ascii="TH Sarabun PSK" w:hAnsi="TH Sarabun PSK"/>
          <w:b/>
          <w:sz w:val="32"/>
        </w:rPr>
        <w:t>L1-only detection</w:t>
      </w:r>
      <w:r>
        <w:rPr>
          <w:rFonts w:ascii="TH Sarabun PSK" w:hAnsi="TH Sarabun PSK"/>
          <w:b w:val="0"/>
          <w:i w:val="0"/>
          <w:sz w:val="32"/>
        </w:rPr>
        <w:t>: ผลลัพธ์จาก L1 เท่านั้น ไม่มีการ validate ของ L2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4.7 ผลเปรียบเทียบ L1+L2 กับ L1-only (n=95 เคส)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Manipulation Check:</w:t>
      </w:r>
      <w:r>
        <w:rPr>
          <w:rFonts w:ascii="TH Sarabun PSK" w:hAnsi="TH Sarabun PSK"/>
          <w:b w:val="0"/>
          <w:i w:val="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sz w:val="32"/>
        </w:rPr>
        <w:t>7/95 เคส</w:t>
      </w:r>
      <w:r>
        <w:rPr>
          <w:rFonts w:ascii="TH Sarabun PSK" w:hAnsi="TH Sarabun PSK"/>
          <w:b w:val="0"/>
          <w:i w:val="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ข้อสรุป:</w:t>
      </w:r>
      <w:r>
        <w:rPr>
          <w:rFonts w:ascii="TH Sarabun PSK" w:hAnsi="TH Sarabun PSK"/>
          <w:b w:val="0"/>
          <w:i w:val="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4.6 ผลการทดสอบความทนทานต่อกรณีศึกษาท้าทาย (Adversarial Stress Test)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4.8 ผลการทดสอบความทนทานบน Adversarial Stress-Test Slice (n=20 เคส, qwen2.5:7b)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4.8ข ผลการตรวจจับปัญหาบน Adversarial Slice (Detector metrics, 3 models × 3 repeats = 180 runs)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อภิปรายผล:</w:t>
      </w:r>
      <w:r>
        <w:rPr>
          <w:rFonts w:ascii="TH Sarabun PSK" w:hAnsi="TH Sarabun PSK"/>
          <w:b w:val="0"/>
          <w:i w:val="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รูปที่ 4.C</w:t>
      </w:r>
      <w:r>
        <w:rPr>
          <w:rFonts w:ascii="TH Sarabun PSK" w:hAnsi="TH Sarabun PSK"/>
          <w:b w:val="0"/>
          <w:i w:val="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![รูปที่ 4.C Adversarial Recall vs Suppression](../output/figures_ch4/fig_4c_adversarial.png)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ตารางที่ 4.9 ผล nDCG@10 จำแนกตามระดับความซับซ้อนของเคส (qwen2.5:7b, เฉลี่ย 3 repeats)</w:t>
      </w:r>
    </w:p>
    <w:p>
      <w:pPr>
        <w:pStyle w:val="Normal"/>
        <w:jc w:val="left"/>
      </w:pPr>
      <w:r>
        <w:rPr>
          <w:rFonts w:ascii="TH Sarabun PSK" w:hAnsi="TH Sarabun PSK"/>
          <w:b/>
          <w:sz w:val="32"/>
        </w:rPr>
        <w:t>ข้อค้นพบ:</w:t>
      </w:r>
      <w:r>
        <w:rPr>
          <w:rFonts w:ascii="TH Sarabun PSK" w:hAnsi="TH Sarabun PSK"/>
          <w:b w:val="0"/>
          <w:i w:val="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sz w:val="32"/>
        </w:rPr>
        <w:t>0.3009</w:t>
      </w:r>
      <w:r>
        <w:rPr>
          <w:rFonts w:ascii="TH Sarabun PSK" w:hAnsi="TH Sarabun PSK"/>
          <w:b w:val="0"/>
          <w:i w:val="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sz w:val="32"/>
        </w:rPr>
        <w:t>0.2501</w:t>
      </w:r>
      <w:r>
        <w:rPr>
          <w:rFonts w:ascii="TH Sarabun PSK" w:hAnsi="TH Sarabun PSK"/>
          <w:b w:val="0"/>
          <w:i w:val="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sz w:val="30"/>
        </w:rPr>
        <w:t>CHILD_004_PAR_01</w:t>
      </w:r>
      <w:r>
        <w:rPr>
          <w:rFonts w:ascii="TH Sarabun PSK" w:hAnsi="TH Sarabun PSK"/>
          <w:b w:val="0"/>
          <w:i w:val="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sz w:val="30"/>
        </w:rPr>
        <w:t>T74</w:t>
      </w:r>
      <w:r>
        <w:rPr>
          <w:rFonts w:ascii="TH Sarabun PSK" w:hAnsi="TH Sarabun PSK"/>
          <w:b w:val="0"/>
          <w:i w:val="0"/>
          <w:sz w:val="32"/>
        </w:rPr>
        <w:t xml:space="preserve"> (ทารุณกรรม) แก้ไขปัญหานี้ได้สำเร็จ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sz w:val="30"/>
        </w:rPr>
        <w:t>H2L-Hybrid</w:t>
      </w:r>
      <w:r>
        <w:rPr>
          <w:rFonts w:ascii="TH Sarabun PSK" w:hAnsi="TH Sarabun PSK"/>
          <w:b w:val="0"/>
          <w:i w:val="0"/>
          <w:sz w:val="32"/>
        </w:rPr>
        <w:t xml:space="preserve"> Cross-Encoder Reranker ช่วยกรองในขั้นตอนสุดท้าย</w:t>
      </w:r>
    </w:p>
    <w:p>
      <w:pPr>
        <w:pStyle w:val="Normal"/>
      </w:pP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6"/>
        </w:rPr>
        <w:t>4.9 ข้อจำกัดของการทดลองและการตีความผล (Limitations)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4.9.1 ขนาดคลังเอกสารเป็นข้อจำกัดหลัก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sz w:val="32"/>
        </w:rPr>
        <w:t>92 รายการ</w:t>
      </w:r>
      <w:r>
        <w:rPr>
          <w:rFonts w:ascii="TH Sarabun PSK" w:hAnsi="TH Sarabun PSK"/>
          <w:b w:val="0"/>
          <w:i w:val="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sz w:val="30"/>
        </w:rPr>
        <w:t>top_k = 15</w:t>
      </w:r>
      <w:r>
        <w:rPr>
          <w:rFonts w:ascii="TH Sarabun PSK" w:hAnsi="TH Sarabun PSK"/>
          <w:b w:val="0"/>
          <w:i w:val="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sz w:val="32"/>
        </w:rPr>
        <w:t xml:space="preserve"> — </w:t>
      </w:r>
      <w:r>
        <w:rPr>
          <w:rFonts w:ascii="Courier New" w:hAnsi="Courier New"/>
          <w:sz w:val="30"/>
        </w:rPr>
        <w:t>P@5 = 0.1221</w:t>
      </w:r>
      <w:r>
        <w:rPr>
          <w:rFonts w:ascii="TH Sarabun PSK" w:hAnsi="TH Sarabun PSK"/>
          <w:b w:val="0"/>
          <w:i w:val="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sz w:val="32"/>
        </w:rPr>
        <w:t xml:space="preserve"> — </w:t>
      </w:r>
      <w:r>
        <w:rPr>
          <w:rFonts w:ascii="Courier New" w:hAnsi="Courier New"/>
          <w:sz w:val="30"/>
        </w:rPr>
        <w:t>P@5</w:t>
      </w:r>
      <w:r>
        <w:rPr>
          <w:rFonts w:ascii="TH Sarabun PSK" w:hAnsi="TH Sarabun PSK"/>
          <w:b w:val="0"/>
          <w:i w:val="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4. </w:t>
      </w:r>
      <w:r>
        <w:rPr>
          <w:rFonts w:ascii="TH Sarabun PSK" w:hAnsi="TH Sarabun PSK"/>
          <w:b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4.9.2 การตีความผลที่ไม่มีนัยสำคัญทางสถิติ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4.9.3 ข้อจำกัดด้านขนาดตัวอย่างในการประเมินย่อย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sz w:val="32"/>
        </w:rPr>
        <w:t>18 กรณี</w:t>
      </w:r>
      <w:r>
        <w:rPr>
          <w:rFonts w:ascii="TH Sarabun PSK" w:hAnsi="TH Sarabun PSK"/>
          <w:b w:val="0"/>
          <w:i w:val="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4.9.4 ขอบเขตที่การทดลองนี้ยังไม่ครอบคลุม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1. </w:t>
      </w:r>
      <w:r>
        <w:rPr>
          <w:rFonts w:ascii="TH Sarabun PSK" w:hAnsi="TH Sarabun PSK"/>
          <w:b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2. </w:t>
      </w:r>
      <w:r>
        <w:rPr>
          <w:rFonts w:ascii="TH Sarabun PSK" w:hAnsi="TH Sarabun PSK"/>
          <w:b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sz w:val="30"/>
        </w:rPr>
        <w:t>bm25_only</w:t>
      </w:r>
      <w:r>
        <w:rPr>
          <w:rFonts w:ascii="TH Sarabun PSK" w:hAnsi="TH Sarabun PSK"/>
          <w:b w:val="0"/>
          <w:i w:val="0"/>
          <w:sz w:val="32"/>
        </w:rPr>
        <w:t xml:space="preserve"> 0.2221 → 0.2369 และ </w:t>
      </w:r>
      <w:r>
        <w:rPr>
          <w:rFonts w:ascii="Courier New" w:hAnsi="Courier New"/>
          <w:sz w:val="30"/>
        </w:rPr>
        <w:t>basic</w:t>
      </w:r>
      <w:r>
        <w:rPr>
          <w:rFonts w:ascii="TH Sarabun PSK" w:hAnsi="TH Sarabun PSK"/>
          <w:b w:val="0"/>
          <w:i w:val="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sz w:val="30"/>
        </w:rPr>
        <w:t>naive_rag</w:t>
      </w:r>
      <w:r>
        <w:rPr>
          <w:rFonts w:ascii="TH Sarabun PSK" w:hAnsi="TH Sarabun PSK"/>
          <w:b w:val="0"/>
          <w:i w:val="0"/>
          <w:sz w:val="32"/>
        </w:rPr>
        <w:t xml:space="preserve"> 0.2019 → 0.2017 และ </w:t>
      </w:r>
      <w:r>
        <w:rPr>
          <w:rFonts w:ascii="Courier New" w:hAnsi="Courier New"/>
          <w:sz w:val="30"/>
        </w:rPr>
        <w:t>hyde</w:t>
      </w:r>
      <w:r>
        <w:rPr>
          <w:rFonts w:ascii="TH Sarabun PSK" w:hAnsi="TH Sarabun PSK"/>
          <w:b w:val="0"/>
          <w:i w:val="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 xml:space="preserve">3. </w:t>
      </w:r>
      <w:r>
        <w:rPr>
          <w:rFonts w:ascii="TH Sarabun PSK" w:hAnsi="TH Sarabun PSK"/>
          <w:b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pStyle w:val="Normal"/>
        <w:jc w:val="left"/>
      </w:pPr>
      <w:r>
        <w:rPr>
          <w:rFonts w:ascii="TH Sarabun PSK" w:hAnsi="TH Sarabun PSK"/>
          <w:b/>
          <w:i w:val="0"/>
          <w:sz w:val="32"/>
        </w:rPr>
        <w:t>4.9.5 นัยต่อการพัฒนาต่อ</w:t>
      </w:r>
    </w:p>
    <w:p>
      <w:pPr>
        <w:pStyle w:val="Normal"/>
        <w:jc w:val="left"/>
      </w:pPr>
      <w:r>
        <w:rPr>
          <w:rFonts w:ascii="TH Sarabun PSK" w:hAnsi="TH Sarabun PSK"/>
          <w:b w:val="0"/>
          <w:i w:val="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 โดยเฉพาะอย่างยิ่งกับ dense retrieval baselines ที่พิสูจน์แล้วว่ามีนัยสำคัญทางสถิติ (naive_rag, HyDE) ส่วน sparse/hybrid baselines แสดง delta บวกสม่ำเสมอแต่ยังไม่มีนัยสำคัญบนชุดทดสอบขนาด 92 เอกสารนี้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