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(n=95 กรณีศึกษา, Holm-Bonferroni Correction)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Baseline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Raw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ข้อสรุป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0.0251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**+0.0498**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0.0052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0.01$)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0.0168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**+0.0415**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0.0135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0.0450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0.0640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median ผลต่างรายกรณีเป็น 0 ในทุกคู่ เคสที่ต่างกันจริงมี 13–30 จาก 95 กรณีเท่านั้น แสดงว่าประโยชน์ของ H2L กระจุกอยู่ในกรณีศึกษาส่วนน้อย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เหนือกว่าอย่างมีนัยสำคัญ (หลังปรับ Holm) 4 จาก 7 คู่เทียบ ซึ่งได้แก่กลุ่ม naive RAG และ dense retrieval ทั้งสองเวอร์ชัน แต่ยังไม่แตกต่างอย่างมีนัยสำคัญจาก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ซึ่งเป็น baseline ที่แข็งกว่า ประโยชน์ของ H2L ปรากฏชัดกว่าเมื่อพิจารณาที่ cutoff @10 เทียบกับ @5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 การทดสอบเพิ่มเติมที่ออกแบบไว้เพื่อเปรียบเทียบ severity-weighted Bayesian prior กับ uniform prior ยืนยันข้อค้นพบนี้: ทั้งสองเงื่อนไขให้ผลเหมือนกันทุกตัวชี้วัดทุกกรณีศึกษา (ค่าต่างสัมบูรณ์สูงสุด $= 0.000$) เนื่องจาก </w:t>
      </w:r>
      <w:r>
        <w:rPr>
          <w:rFonts w:ascii="Courier New" w:hAnsi="Courier New"/>
          <w:color w:val="B42828"/>
          <w:sz w:val="30"/>
        </w:rPr>
        <w:t>w/o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4.6 ให้ nDCG@5 $= 0.2442$ เท่ากับ Full V6 ทุกกรณีศึกษา จึงยังไม่มีหลักฐานเชิงประจักษ์ว่า severity-weighted prior ส่งผลต่ออันดับเอกสารบนชุดทดสอบนี้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4.D การแยกกันของคะแนนและอันดับ](../output/figures_ch4/fig_4d_decoupling.png)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4.5.5 ผลการทดสอบความเป็นสากลของชั้น H2L ข้ามสถาปัตยกรรม (RQ5)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ผลการทดสอบ H2L เป็น Post-Processing Layer ข้ามสถาปัตยกรรม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 (Pair)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 (nDCG@10)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→ `h2l-bm25`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**+0.0148**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+0.0142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0.5230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→ `h2l-naive_rag`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−0.0002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0.5755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→ `h2l-hyde`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0.0815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0.8248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→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**0.0486**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 nDCG@10 คู่ </w:t>
      </w:r>
      <w:r>
        <w:rPr>
          <w:rFonts w:ascii="Courier New" w:hAnsi="Courier New"/>
          <w:color w:val="B42828"/>
          <w:sz w:val="30"/>
        </w:rPr>
        <w:t>basic → 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ข้อสังเกตเพิ่มเติม: คู่ </w:t>
      </w:r>
      <w:r>
        <w:rPr>
          <w:rFonts w:ascii="Courier New" w:hAnsi="Courier New"/>
          <w:color w:val="B42828"/>
          <w:sz w:val="30"/>
        </w:rPr>
        <w:t>bm25_only → 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4.8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4.7)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