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H SarabunPSK" w:hAnsi="TH SarabunPSK" w:cs="TH SarabunPSK"/>
          <w:b/>
          <w:sz w:val="36"/>
        </w:rPr>
        <w:t>ภาคผนวก: เนื้อหาเพิ่มเติมสำหรับปรับปรุงวิทยานิพนธ์</w:t>
      </w:r>
    </w:p>
    <w:p>
      <w:pPr>
        <w:spacing w:before="0" w:after="200" w:line="336" w:lineRule="auto"/>
        <w:jc w:val="center"/>
      </w:pPr>
      <w:r>
        <w:rPr>
          <w:rFonts w:ascii="TH SarabunPSK" w:hAnsi="TH SarabunPSK" w:cs="TH SarabunPSK"/>
          <w:b w:val="0"/>
          <w:sz w:val="28"/>
        </w:rPr>
        <w:t>(บทที่ 3 และบทที่ 4 — ชุดทดสอบ n=76, ผลรัน 2026-07-19)</w:t>
      </w:r>
    </w:p>
    <w:p>
      <w:pPr>
        <w:spacing w:before="240" w:after="120" w:line="336" w:lineRule="auto"/>
        <w:jc w:val="left"/>
      </w:pPr>
      <w:r>
        <w:rPr>
          <w:rFonts w:ascii="TH SarabunPSK" w:hAnsi="TH SarabunPSK" w:cs="TH SarabunPSK"/>
          <w:b/>
          <w:sz w:val="34"/>
        </w:rPr>
        <w:t>ส่วนเพิ่มเติมในหัวข้อ 3.9.1: การเพิ่มเคสทดสอบข้อความสั้น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เพื่อให้ชุดทดสอบครอบคลุมสถานการณ์จริงที่นักสังคมสงเคราะห์มักบันทึกข้อมูลอย่างสั้นในช่วงแรกรับเคส และเพื่อทดสอบกลไก Length Gate (G_len) โดยตรง ผู้วิจัยได้เพิ่มเคสทดสอบสองประเภทเข้าสู่ชุดทดสอบ รวมทั้งสิ้น 8 เคส ทำให้ชุดทดสอบเพิ่มจาก 68 เป็น 76 เคส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ประเภทที่หนึ่ง เคสสั้นที่มีหลักฐาน (Short-but-Evidenced Cases) จำนวน 5 เคส เป็นข้อความความยาวประมาณ 61–72 ตัวอักษร ที่แม้จะสั้นแต่ยังคงมีคำสำคัญของปัญหาหลักครบถ้วน เช่น "ผู้ป่วยหญิงอายุ 78 ปี เป็นโรคหลอดเลือดสมอง ติดเตียง มีแผลเบาหวานที่เท้า" รหัสปัญหาที่คาดหวัง ได้แก่ I64 [ICD] และ E11.5 [ICD] เคสประเภทนี้ทดสอบว่าระบบสามารถตรวจจับปัญหาได้ถูกต้องเมื่อข้อความสั้นแต่มีหลักฐานเพียงพอ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ประเภทที่สอง เคสสั้นมาก (Minimal Cases) จำนวน 3 เคส เป็นข้อความความยาวน้อยกว่า 22 ตัวอักษร ที่ออกแบบมาเพื่อกระตุ้นการทำงานของ Length Gate โดยตรง เนื่องจากฟังก์ชัน G_len จะลดทอนคะแนนเฉพาะข้อความที่สั้นกว่าประมาณ 22 ตัวอักษรเท่านั้น ตัวอย่างเช่น ข้อความ "เป็นโรคจิตเภท" (13 ตัวอักษร) ได้ค่า G_len ≈ 0.86 และ "ถูกทำร้ายร่างกาย" (16 ตัวอักษร) ได้ค่า G_len ≈ 0.92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เคสทดสอบทั้ง 8 เคสได้รับการตรวจสอบ (1) ด้านความสมเหตุสมผลเชิงความหมายของรหัสปัญหาที่คาดหวัง โดยแต่ละรหัสถูกจำแนกประเภทเป็น [ICD] (รหัส ICD-10 ทางการแพทย์) หรือ [SOCIAL] (รหัสปัญหาสังคม 4 หลัก) และ (2) ด้านความสอดคล้องกับตัวตรวจจับจริงของระบบ (H2L Detector) โดยยืนยันว่าระบบสามารถตรวจจับรหัสปัญหาที่คาดหวังได้ครบถ้วน (MISS = 0)</w:t>
      </w:r>
    </w:p>
    <w:p>
      <w:pPr>
        <w:spacing w:before="240" w:after="120" w:line="336" w:lineRule="auto"/>
        <w:jc w:val="left"/>
      </w:pPr>
      <w:r>
        <w:rPr>
          <w:rFonts w:ascii="TH SarabunPSK" w:hAnsi="TH SarabunPSK" w:cs="TH SarabunPSK"/>
          <w:b/>
          <w:sz w:val="34"/>
        </w:rPr>
        <w:t>ส่วนปรับปรุงในบทที่ 4: ผลการเปรียบเทียบกลยุทธ์ (ชุดทดสอบ 76 เคส)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ตารางที่ XX แสดงผลการเปรียบเทียบประสิทธิภาพของกลยุทธ์การค้นคืนทั้ง 8 กลยุทธ์บนชุดทดสอบจำนวน 76 เคส วัดด้วยตัวชี้วัดเชิงอันดับมาตรฐาน (ค่าที่แสดงเป็นค่าเฉลี่ยข้ามทุกเคส)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กลยุทธ์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MAP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MRR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P@5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R@5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nDCG@5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nDCG@10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BM25 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0.2731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0.3334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0.2682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0.2611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0.2861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Naive RAG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0.2984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0.1237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0.2392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0.2623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HyDE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0.1890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0.1826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Basic (Hybrid)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0.2782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0.3208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0.3138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0.2807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0.3031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H2L-BM25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0.2668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0.3141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0.1447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0.2985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0.2813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0.3018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H2L-Naive RAG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0.2345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0.3124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0.1211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0.2529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0.2720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6"/>
              </w:rPr>
              <w:t>H2L-HyDE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0.1664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0.1577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6"/>
              </w:rPr>
              <w:t>0.1694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sz w:val="26"/>
              </w:rPr>
              <w:t>H2L-Hybrid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0.2933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0.3351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0.1500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0.3215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0.2975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6"/>
              </w:rPr>
              <w:t>0.3285</w:t>
            </w:r>
          </w:p>
        </w:tc>
      </w:tr>
    </w:tbl>
    <w:p>
      <w:pPr>
        <w:spacing w:before="0" w:after="80" w:line="336" w:lineRule="auto"/>
        <w:jc w:val="both"/>
      </w:pPr>
      <w:r>
        <w:rPr>
          <w:rFonts w:ascii="TH SarabunPSK" w:hAnsi="TH SarabunPSK" w:cs="TH SarabunPSK"/>
          <w:b w:val="0"/>
          <w:sz w:val="32"/>
        </w:rPr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H2L-Hybrid ให้ผลดีที่สุดในทุกตัวชี้วัด (สูงสุดใน MAP, MRR, R@5, nDCG@5 และ nDCG@10 และเสมอกับ Basic ใน P@5) โดยได้ค่า nDCG@10 = 0.3285 สูงกว่า Basic (0.3031) และ BM25 Only (0.2861)</w:t>
      </w:r>
    </w:p>
    <w:p>
      <w:r>
        <w:br w:type="page"/>
      </w:r>
    </w:p>
    <w:p>
      <w:pPr>
        <w:spacing w:before="240" w:after="120" w:line="336" w:lineRule="auto"/>
        <w:jc w:val="left"/>
      </w:pPr>
      <w:r>
        <w:rPr>
          <w:rFonts w:ascii="TH SarabunPSK" w:hAnsi="TH SarabunPSK" w:cs="TH SarabunPSK"/>
          <w:b/>
          <w:sz w:val="34"/>
        </w:rPr>
        <w:t>ส่วนเพิ่มเติมในบทที่ 4: การทดสอบนัยสำคัญทางสถิติ (nDCG@10)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ผู้วิจัยทำการทดสอบนัยสำคัญทางสถิติแบบจับคู่ (Paired t-test) บนค่า nDCG@10 รายเคสจากชุดทดสอบ 76 เคส พร้อมปรับค่านัยสำคัญด้วยวิธี Holm-Bonferroni และรายงานขนาดผลด้วยค่า Cohen's 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เปรียบเทียบกับ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H2L-Hybrid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Baseline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ผลต่าง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Cohen's d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p (Holm)</w:t>
            </w:r>
          </w:p>
        </w:tc>
        <w:tc>
          <w:tcPr>
            <w:tcW w:type="dxa" w:w="1234"/>
            <w:shd w:val="clear" w:color="auto" w:fill="D9E2F3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นัยสำคัญ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4"/>
              </w:rPr>
              <w:t>BM25 Only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0.2861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+0.0425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ns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sz w:val="24"/>
              </w:rPr>
              <w:t>Naive RAG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0.2623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+0.0662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0.43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0.0019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** (p&lt;0.01)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sz w:val="24"/>
              </w:rPr>
              <w:t>HyDE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0.1826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+0.1459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0.48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0.0005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*** (p&lt;0.001)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4"/>
              </w:rPr>
              <w:t>Basic (Hybrid)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0.3031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+0.0254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ns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H SarabunPSK" w:hAnsi="TH SarabunPSK" w:cs="TH SarabunPSK"/>
                <w:b w:val="0"/>
                <w:sz w:val="24"/>
              </w:rPr>
              <w:t>H2L-BM25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0.3285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0.3018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+0.0268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0.1025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H SarabunPSK" w:hAnsi="TH SarabunPSK" w:cs="TH SarabunPSK"/>
                <w:b w:val="0"/>
                <w:sz w:val="24"/>
              </w:rPr>
              <w:t>ns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sz w:val="24"/>
              </w:rPr>
              <w:t>H2L-Naive RAG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0.2720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+0.0566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0.39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0.0050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** (p&lt;0.01)</w:t>
            </w:r>
          </w:p>
        </w:tc>
      </w:tr>
      <w:tr>
        <w:tc>
          <w:tcPr>
            <w:tcW w:type="dxa" w:w="1234"/>
            <w:shd w:val="clear" w:color="auto" w:fill="E2EFDA"/>
          </w:tcPr>
          <w:p>
            <w:pPr>
              <w:jc w:val="left"/>
            </w:pPr>
            <w:r>
              <w:rPr>
                <w:rFonts w:ascii="TH SarabunPSK" w:hAnsi="TH SarabunPSK" w:cs="TH SarabunPSK"/>
                <w:b/>
                <w:sz w:val="24"/>
              </w:rPr>
              <w:t>H2L-HyDE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0.3285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0.1694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+0.1592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0.49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0.0003</w:t>
            </w:r>
          </w:p>
        </w:tc>
        <w:tc>
          <w:tcPr>
            <w:tcW w:type="dxa" w:w="1234"/>
            <w:shd w:val="clear" w:color="auto" w:fill="E2EFDA"/>
          </w:tcPr>
          <w:p>
            <w:pPr>
              <w:jc w:val="center"/>
            </w:pPr>
            <w:r>
              <w:rPr>
                <w:rFonts w:ascii="TH SarabunPSK" w:hAnsi="TH SarabunPSK" w:cs="TH SarabunPSK"/>
                <w:b/>
                <w:sz w:val="24"/>
              </w:rPr>
              <w:t>*** (p&lt;0.001)</w:t>
            </w:r>
          </w:p>
        </w:tc>
      </w:tr>
    </w:tbl>
    <w:p>
      <w:pPr>
        <w:spacing w:before="0" w:after="80" w:line="336" w:lineRule="auto"/>
        <w:jc w:val="both"/>
      </w:pPr>
      <w:r>
        <w:rPr>
          <w:rFonts w:ascii="TH SarabunPSK" w:hAnsi="TH SarabunPSK" w:cs="TH SarabunPSK"/>
          <w:b w:val="0"/>
          <w:sz w:val="32"/>
        </w:rPr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26"/>
        </w:rPr>
        <w:t>หมายเหตุ: *** = p &lt; 0.001, ** = p &lt; 0.01, * = p &lt; 0.05, ns = ไม่มีนัยสำคัญ (ค่า p ทั้งหมดผ่านการปรับด้วย Holm-Bonferroni)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H2L-Hybrid มีประสิทธิภาพเหนือกว่ากลยุทธ์ Naive RAG, HyDE, H2L-Naive RAG และ H2L-HyDE อย่างมีนัยสำคัญทางสถิติ (p &lt; 0.05) โดยมีขนาดผลระดับปานกลาง (Cohen's d = 0.39–0.49) สำหรับ BM25 Only, Basic (Hybrid) และ H2L-BM25 ซึ่งเป็น baseline ที่แข็งแกร่ง ผลต่างยังไม่ถึงระดับนัยสำคัญหลังการปรับแก้ แต่ H2L-Hybrid มีค่าเฉลี่ยสูงกว่าทุกกรณีในทุกตัวชี้วัด</w:t>
      </w:r>
    </w:p>
    <w:p>
      <w:pPr>
        <w:spacing w:before="240" w:after="120" w:line="336" w:lineRule="auto"/>
        <w:jc w:val="left"/>
      </w:pPr>
      <w:r>
        <w:rPr>
          <w:rFonts w:ascii="TH SarabunPSK" w:hAnsi="TH SarabunPSK" w:cs="TH SarabunPSK"/>
          <w:b/>
          <w:sz w:val="34"/>
        </w:rPr>
        <w:t>หมายเหตุสำหรับบทที่ 5 (ข้อจำกัด)</w:t>
      </w:r>
    </w:p>
    <w:p>
      <w:pPr>
        <w:spacing w:before="0" w:after="120" w:line="336" w:lineRule="auto"/>
        <w:jc w:val="both"/>
      </w:pPr>
      <w:r>
        <w:rPr>
          <w:rFonts w:ascii="TH SarabunPSK" w:hAnsi="TH SarabunPSK" w:cs="TH SarabunPSK"/>
          <w:b w:val="0"/>
          <w:sz w:val="32"/>
        </w:rPr>
        <w:t>จากการทดสอบพบว่าเคสข้อความสั้นด้านคนไร้บ้าน (TINY_HOMELESS_01: "ไม่มีที่อยู่อาศัย") ระบบตรวจจับรหัสปัญหาได้ถูกต้อง (0801 [SOCIAL]) แต่ไม่สามารถค้นคืนเอกสารสนับสนุนที่เกี่ยวข้องได้ สะท้อนว่าคลังเอกสารอ้างอิงมีเนื้อหาด้านคนไร้บ้านไม่เพียงพอ (retrieval gap) ไม่ใช่ข้อบกพร่องของการตรวจจับ ผู้วิจัยเสนอให้ขยายคลังเอกสารในหมวดดังกล่าวในงานวิจัยครั้งต่อไป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