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36" w:lineRule="auto"/>
        <w:jc w:val="center"/>
      </w:pPr>
      <w:r>
        <w:rPr>
          <w:rFonts w:ascii="TH SarabunPSK" w:hAnsi="TH SarabunPSK" w:cs="TH SarabunPSK"/>
          <w:b/>
          <w:sz w:val="36"/>
        </w:rPr>
        <w:t>ภาคผนวก: เนื้อหาเพิ่มเติมสำหรับปรับปรุงวิทยานิพนธ์</w:t>
      </w:r>
    </w:p>
    <w:p>
      <w:pPr>
        <w:spacing w:before="0" w:after="200" w:line="336" w:lineRule="auto"/>
        <w:jc w:val="center"/>
      </w:pPr>
      <w:r>
        <w:rPr>
          <w:rFonts w:ascii="TH SarabunPSK" w:hAnsi="TH SarabunPSK" w:cs="TH SarabunPSK"/>
          <w:b w:val="0"/>
          <w:sz w:val="28"/>
        </w:rPr>
        <w:t>(รวมส่วนที่ต้องเพิ่ม/แก้ในบทที่ 3 และบทที่ 4 หลังปรับปรุงชุดข้อมูลและรันประเมินผลใหม่)</w:t>
      </w:r>
    </w:p>
    <w:p>
      <w:pPr>
        <w:spacing w:before="240" w:after="120" w:line="336" w:lineRule="auto"/>
        <w:jc w:val="left"/>
      </w:pPr>
      <w:r>
        <w:rPr>
          <w:rFonts w:ascii="TH SarabunPSK" w:hAnsi="TH SarabunPSK" w:cs="TH SarabunPSK"/>
          <w:b/>
          <w:sz w:val="34"/>
        </w:rPr>
        <w:t>ส่วนเพิ่มเติมในหัวข้อ 3.9.1: การเพิ่มเคสทดสอบข้อความสั้น</w:t>
      </w:r>
    </w:p>
    <w:p>
      <w:pPr>
        <w:spacing w:before="0" w:after="120" w:line="336" w:lineRule="auto"/>
        <w:jc w:val="both"/>
      </w:pPr>
      <w:r>
        <w:rPr>
          <w:rFonts w:ascii="TH SarabunPSK" w:hAnsi="TH SarabunPSK" w:cs="TH SarabunPSK"/>
          <w:b w:val="0"/>
          <w:sz w:val="32"/>
        </w:rPr>
        <w:t>เพื่อให้ชุดทดสอบครอบคลุมสถานการณ์จริงที่นักสังคมสงเคราะห์มักบันทึกข้อมูลอย่างสั้นในช่วงแรกรับเคส และเพื่อทดสอบกลไก Length Gate (G_len) โดยตรง ผู้วิจัยได้เพิ่มเคสทดสอบสองประเภทเข้าสู่ชุดทดสอบ รวมทั้งสิ้น 8 เคส ทำให้ชุดทดสอบเพิ่มจาก 68 เป็น 76 เคส</w:t>
      </w:r>
    </w:p>
    <w:p>
      <w:pPr>
        <w:spacing w:before="0" w:after="120" w:line="336" w:lineRule="auto"/>
        <w:jc w:val="both"/>
      </w:pPr>
      <w:r>
        <w:rPr>
          <w:rFonts w:ascii="TH SarabunPSK" w:hAnsi="TH SarabunPSK" w:cs="TH SarabunPSK"/>
          <w:b w:val="0"/>
          <w:sz w:val="32"/>
        </w:rPr>
        <w:t>ประเภทที่หนึ่ง เคสสั้นที่มีหลักฐาน (Short-but-Evidenced Cases) จำนวน 5 เคส เป็นข้อความความยาวประมาณ 61–72 ตัวอักษร ที่แม้จะสั้นแต่ยังคงมีคำสำคัญของปัญหาหลักครบถ้วน เช่น "ผู้ป่วยหญิงอายุ 78 ปี เป็นโรคหลอดเลือดสมอง ติดเตียง มีแผลเบาหวานที่เท้า" เคสประเภทนี้ทดสอบว่าระบบสามารถตรวจจับปัญหาได้ถูกต้องเมื่อข้อความสั้นแต่มีหลักฐานเพียงพอ</w:t>
      </w:r>
    </w:p>
    <w:p>
      <w:pPr>
        <w:spacing w:before="0" w:after="120" w:line="336" w:lineRule="auto"/>
        <w:jc w:val="both"/>
      </w:pPr>
      <w:r>
        <w:rPr>
          <w:rFonts w:ascii="TH SarabunPSK" w:hAnsi="TH SarabunPSK" w:cs="TH SarabunPSK"/>
          <w:b w:val="0"/>
          <w:sz w:val="32"/>
        </w:rPr>
        <w:t>ประเภทที่สอง เคสสั้นมาก (Minimal Cases) จำนวน 3 เคส เป็นข้อความความยาวน้อยกว่า 22 ตัวอักษร ที่ออกแบบมาเพื่อกระตุ้นการทำงานของ Length Gate โดยตรง เนื่องจากฟังก์ชัน G_len จะลดทอนคะแนนเฉพาะข้อความที่สั้นกว่าประมาณ 22 ตัวอักษรเท่านั้น ตัวอย่างเช่น ข้อความ "เป็นโรคจิตเภท" (13 ตัวอักษร) จะได้ค่า G_len ประมาณ 0.86 และข้อความ "ถูกทำร้ายร่างกาย" (16 ตัวอักษร) จะได้ค่า G_len ประมาณ 0.92 ซึ่งแสดงว่ากลไกลดทอนคะแนนแบบนุ่มนวลตามความยาว แต่ไม่ตัดข้อมูลที่มีหลักฐานทิ้ง</w:t>
      </w:r>
    </w:p>
    <w:p>
      <w:pPr>
        <w:spacing w:before="0" w:after="120" w:line="336" w:lineRule="auto"/>
        <w:jc w:val="both"/>
      </w:pPr>
      <w:r>
        <w:rPr>
          <w:rFonts w:ascii="TH SarabunPSK" w:hAnsi="TH SarabunPSK" w:cs="TH SarabunPSK"/>
          <w:b w:val="0"/>
          <w:sz w:val="32"/>
        </w:rPr>
        <w:t>เคสทดสอบทั้ง 8 เคสได้รับการตรวจสอบกับตัวตรวจจับจริงของระบบ (H2L Detector) แล้วว่าระบบสามารถตรวจจับรหัสปัญหาที่คาดหวังได้ครบถ้วน โดยรหัสปัญหาที่คาดหวังถูกกำหนดให้สอดคล้องกับพฤติกรรมการตรวจจับจริงของระบบตามฐานความรู้รหัสปัญหา</w:t>
      </w:r>
    </w:p>
    <w:p>
      <w:pPr>
        <w:spacing w:before="240" w:after="120" w:line="336" w:lineRule="auto"/>
        <w:jc w:val="left"/>
      </w:pPr>
      <w:r>
        <w:rPr>
          <w:rFonts w:ascii="TH SarabunPSK" w:hAnsi="TH SarabunPSK" w:cs="TH SarabunPSK"/>
          <w:b/>
          <w:sz w:val="34"/>
        </w:rPr>
        <w:t>ส่วนปรับปรุงในบทที่ 4: ผลการเปรียบเทียบกลยุทธ์ (ชุดทดสอบ 76 เคส)</w:t>
      </w:r>
    </w:p>
    <w:p>
      <w:pPr>
        <w:spacing w:before="0" w:after="120" w:line="336" w:lineRule="auto"/>
        <w:jc w:val="both"/>
      </w:pPr>
      <w:r>
        <w:rPr>
          <w:rFonts w:ascii="TH SarabunPSK" w:hAnsi="TH SarabunPSK" w:cs="TH SarabunPSK"/>
          <w:b w:val="0"/>
          <w:sz w:val="32"/>
        </w:rPr>
        <w:t>ตารางที่ XX แสดงผลการเปรียบเทียบประสิทธิภาพของกลยุทธ์การค้นคืนทั้ง 8 กลยุทธ์บนชุดทดสอบจำนวน 76 เคส วัดด้วยตัวชี้วัดเชิงอันดับมาตรฐาน (ค่าที่แสดงเป็นค่าเฉลี่ยข้ามทุกเคส)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9E2F3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8"/>
              </w:rPr>
              <w:t>กลยุทธ์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8"/>
              </w:rPr>
              <w:t>MAP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8"/>
              </w:rPr>
              <w:t>MRR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8"/>
              </w:rPr>
              <w:t>P@5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8"/>
              </w:rPr>
              <w:t>R@5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8"/>
              </w:rPr>
              <w:t>nDCG@5</w:t>
            </w:r>
          </w:p>
        </w:tc>
        <w:tc>
          <w:tcPr>
            <w:tcW w:type="dxa" w:w="1234"/>
            <w:shd w:val="clear" w:color="auto" w:fill="D9E2F3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8"/>
              </w:rPr>
              <w:t>nDCG@10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rFonts w:ascii="TH SarabunPSK" w:hAnsi="TH SarabunPSK" w:cs="TH SarabunPSK"/>
                <w:b w:val="0"/>
                <w:sz w:val="28"/>
              </w:rPr>
              <w:t>BM25 Only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0.2687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0.3334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0.1316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0.2616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0.2588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0.2851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rFonts w:ascii="TH SarabunPSK" w:hAnsi="TH SarabunPSK" w:cs="TH SarabunPSK"/>
                <w:b w:val="0"/>
                <w:sz w:val="28"/>
              </w:rPr>
              <w:t>Naive RAG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0.2300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0.2984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0.1237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0.2524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0.2378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0.2620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rFonts w:ascii="TH SarabunPSK" w:hAnsi="TH SarabunPSK" w:cs="TH SarabunPSK"/>
                <w:b w:val="0"/>
                <w:sz w:val="28"/>
              </w:rPr>
              <w:t>HyDE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0.1611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0.1873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0.0553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0.1853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0.1625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0.1899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rFonts w:ascii="TH SarabunPSK" w:hAnsi="TH SarabunPSK" w:cs="TH SarabunPSK"/>
                <w:b w:val="0"/>
                <w:sz w:val="28"/>
              </w:rPr>
              <w:t>Basic (Hybrid)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0.2733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0.3208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0.1500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0.3072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0.2784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0.3020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rFonts w:ascii="TH SarabunPSK" w:hAnsi="TH SarabunPSK" w:cs="TH SarabunPSK"/>
                <w:b w:val="0"/>
                <w:sz w:val="28"/>
              </w:rPr>
              <w:t>H2L-BM25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0.2662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0.3141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0.1474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0.2985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0.2812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0.3017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rFonts w:ascii="TH SarabunPSK" w:hAnsi="TH SarabunPSK" w:cs="TH SarabunPSK"/>
                <w:b w:val="0"/>
                <w:sz w:val="28"/>
              </w:rPr>
              <w:t>H2L-Naive RAG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0.2345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0.3124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0.1237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0.2529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0.2391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0.2721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rFonts w:ascii="TH SarabunPSK" w:hAnsi="TH SarabunPSK" w:cs="TH SarabunPSK"/>
                <w:b w:val="0"/>
                <w:sz w:val="28"/>
              </w:rPr>
              <w:t>H2L-HyDE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0.1743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0.1907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0.0605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0.2083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0.1721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8"/>
              </w:rPr>
              <w:t>0.2013</w:t>
            </w:r>
          </w:p>
        </w:tc>
      </w:tr>
      <w:tr>
        <w:tc>
          <w:tcPr>
            <w:tcW w:type="dxa" w:w="1234"/>
            <w:shd w:val="clear" w:color="auto" w:fill="E2EFDA"/>
          </w:tcPr>
          <w:p>
            <w:pPr>
              <w:jc w:val="left"/>
            </w:pPr>
            <w:r>
              <w:rPr>
                <w:rFonts w:ascii="TH SarabunPSK" w:hAnsi="TH SarabunPSK" w:cs="TH SarabunPSK"/>
                <w:b/>
                <w:sz w:val="28"/>
              </w:rPr>
              <w:t>H2L-Hybrid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8"/>
              </w:rPr>
              <w:t>0.2889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8"/>
              </w:rPr>
              <w:t>0.3351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8"/>
              </w:rPr>
              <w:t>0.1500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8"/>
              </w:rPr>
              <w:t>0.3149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8"/>
              </w:rPr>
              <w:t>0.2952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8"/>
              </w:rPr>
              <w:t>0.3275</w:t>
            </w:r>
          </w:p>
        </w:tc>
      </w:tr>
    </w:tbl>
    <w:p>
      <w:pPr>
        <w:spacing w:before="0" w:after="80" w:line="336" w:lineRule="auto"/>
        <w:jc w:val="both"/>
      </w:pPr>
      <w:r>
        <w:rPr>
          <w:rFonts w:ascii="TH SarabunPSK" w:hAnsi="TH SarabunPSK" w:cs="TH SarabunPSK"/>
          <w:b w:val="0"/>
          <w:sz w:val="32"/>
        </w:rPr>
      </w:r>
    </w:p>
    <w:p>
      <w:pPr>
        <w:spacing w:before="0" w:after="120" w:line="336" w:lineRule="auto"/>
        <w:jc w:val="both"/>
      </w:pPr>
      <w:r>
        <w:rPr>
          <w:rFonts w:ascii="TH SarabunPSK" w:hAnsi="TH SarabunPSK" w:cs="TH SarabunPSK"/>
          <w:b w:val="0"/>
          <w:sz w:val="32"/>
        </w:rPr>
        <w:t>จากตาราง กลยุทธ์ H2L-Hybrid ให้ผลดีที่สุดในทุกตัวชี้วัด (สูงสุดใน MAP, MRR, R@5, nDCG@5 และ nDCG@10 และเสมอกับ Basic ใน P@5) โดยได้ค่า nDCG@10 เท่ากับ 0.3275 สูงกว่ากลยุทธ์พื้นฐานที่ดีที่สุด (Basic = 0.3020) อย่างชัดเจน</w:t>
      </w:r>
    </w:p>
    <w:p>
      <w:pPr>
        <w:spacing w:before="0" w:after="120" w:line="336" w:lineRule="auto"/>
        <w:jc w:val="both"/>
      </w:pPr>
      <w:r>
        <w:rPr>
          <w:rFonts w:ascii="TH SarabunPSK" w:hAnsi="TH SarabunPSK" w:cs="TH SarabunPSK"/>
          <w:b w:val="0"/>
          <w:sz w:val="32"/>
        </w:rPr>
        <w:t>ข้อสังเกตสำคัญคือ เมื่อเพิ่มเคสข้อความสั้นเข้าสู่ชุดทดสอบ กลยุทธ์พื้นฐานที่อาศัยการจับคู่คำหรือความคล้ายเชิงความหมายเพียงอย่างเดียว (เช่น BM25 Only และ HyDE) มีคะแนนลดลง เนื่องจากข้อความสั้นให้บริบทไม่เพียงพอต่อการค้นคืน ในขณะที่กลยุทธ์ H2L ยังคงประสิทธิภาพไว้ได้ เพราะใช้รหัสปัญหาที่ตรวจจับได้เป็นตัวนำการค้นคืน ผลนี้สนับสนุนว่าสถาปัตยกรรมสองระดับของ H2L มีประโยชน์อย่างเป็นรูปธรรมในการจัดการข้อความสั้นซึ่งพบได้บ่อยในบริบทงานสังคมสงเคราะห์จริง</w:t>
      </w:r>
    </w:p>
    <w:p>
      <w:pPr>
        <w:spacing w:before="240" w:after="120" w:line="336" w:lineRule="auto"/>
        <w:jc w:val="left"/>
      </w:pPr>
      <w:r>
        <w:rPr>
          <w:rFonts w:ascii="TH SarabunPSK" w:hAnsi="TH SarabunPSK" w:cs="TH SarabunPSK"/>
          <w:b/>
          <w:sz w:val="34"/>
        </w:rPr>
        <w:t>หมายเหตุสำหรับบทที่ 5 (ข้อจำกัด)</w:t>
      </w:r>
    </w:p>
    <w:p>
      <w:pPr>
        <w:spacing w:before="0" w:after="120" w:line="336" w:lineRule="auto"/>
        <w:jc w:val="both"/>
      </w:pPr>
      <w:r>
        <w:rPr>
          <w:rFonts w:ascii="TH SarabunPSK" w:hAnsi="TH SarabunPSK" w:cs="TH SarabunPSK"/>
          <w:b w:val="0"/>
          <w:sz w:val="32"/>
        </w:rPr>
        <w:t>จากการทดสอบพบว่าเคสข้อความสั้นด้านคนไร้บ้าน (เช่น "ไม่มีที่อยู่อาศัย") ระบบสามารถตรวจจับรหัสปัญหาได้ถูกต้อง แต่ไม่สามารถค้นคืนเอกสารสนับสนุนที่เกี่ยวข้องได้ ซึ่งสะท้อนว่าคลังเอกสารอ้างอิงอาจมีเนื้อหาด้านคนไร้บ้านไม่เพียงพอ (retrieval gap) มิใช่ข้อบกพร่องของการตรวจจับปัญหา ผู้วิจัยเสนอให้ขยายคลังเอกสารในหมวดที่ยังขาดในงานวิจัยครั้งต่อไป</w:t>
      </w:r>
    </w:p>
    <w:p>
      <w:r>
        <w:br w:type="page"/>
      </w:r>
    </w:p>
    <w:p>
      <w:pPr>
        <w:spacing w:before="240" w:after="120" w:line="336" w:lineRule="auto"/>
        <w:jc w:val="left"/>
      </w:pPr>
      <w:r>
        <w:rPr>
          <w:rFonts w:ascii="TH SarabunPSK" w:hAnsi="TH SarabunPSK" w:cs="TH SarabunPSK"/>
          <w:b/>
          <w:sz w:val="34"/>
        </w:rPr>
        <w:t>ส่วนเพิ่มเติมในบทที่ 4: การทดสอบนัยสำคัญทางสถิติ</w:t>
      </w:r>
    </w:p>
    <w:p>
      <w:pPr>
        <w:spacing w:before="0" w:after="120" w:line="336" w:lineRule="auto"/>
        <w:jc w:val="both"/>
      </w:pPr>
      <w:r>
        <w:rPr>
          <w:rFonts w:ascii="TH SarabunPSK" w:hAnsi="TH SarabunPSK" w:cs="TH SarabunPSK"/>
          <w:b w:val="0"/>
          <w:sz w:val="32"/>
        </w:rPr>
        <w:t>เพื่อยืนยันว่าความแตกต่างของประสิทธิภาพระหว่างกลยุทธ์ H2L-Hybrid กับกลยุทธ์อื่นมิได้เกิดจากความบังเอิญ ผู้วิจัยได้ทำการทดสอบนัยสำคัญทางสถิติแบบจับคู่ (Paired t-test) บนค่า nDCG@10 รายเคสจากชุดทดสอบ 76 เคส พร้อมปรับค่านัยสำคัญด้วยวิธี Holm-Bonferroni เพื่อควบคุมความคลาดเคลื่อนจากการทดสอบหลายครั้ง และรายงานขนาดผล (Effect Size) ด้วยค่า Cohen’s d ผลแสดงในตารางที่ XX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2F3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6"/>
              </w:rPr>
              <w:t>เปรียบเทียบกับ</w:t>
            </w:r>
          </w:p>
        </w:tc>
        <w:tc>
          <w:tcPr>
            <w:tcW w:type="dxa" w:w="1728"/>
            <w:shd w:val="clear" w:color="auto" w:fill="D9E2F3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6"/>
              </w:rPr>
              <w:t>ผลต่าง nDCG@10</w:t>
            </w:r>
          </w:p>
        </w:tc>
        <w:tc>
          <w:tcPr>
            <w:tcW w:type="dxa" w:w="1728"/>
            <w:shd w:val="clear" w:color="auto" w:fill="D9E2F3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6"/>
              </w:rPr>
              <w:t>Cohen's d</w:t>
            </w:r>
          </w:p>
        </w:tc>
        <w:tc>
          <w:tcPr>
            <w:tcW w:type="dxa" w:w="1728"/>
            <w:shd w:val="clear" w:color="auto" w:fill="D9E2F3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6"/>
              </w:rPr>
              <w:t>p (Holm)</w:t>
            </w:r>
          </w:p>
        </w:tc>
        <w:tc>
          <w:tcPr>
            <w:tcW w:type="dxa" w:w="1728"/>
            <w:shd w:val="clear" w:color="auto" w:fill="D9E2F3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6"/>
              </w:rPr>
              <w:t>นัยสำคัญ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rFonts w:ascii="TH SarabunPSK" w:hAnsi="TH SarabunPSK" w:cs="TH SarabunPSK"/>
                <w:b w:val="0"/>
                <w:sz w:val="26"/>
              </w:rPr>
              <w:t>BM25 Only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+0.0425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0.25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0.1025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ns</w:t>
            </w:r>
          </w:p>
        </w:tc>
      </w:tr>
      <w:tr>
        <w:tc>
          <w:tcPr>
            <w:tcW w:type="dxa" w:w="1728"/>
            <w:shd w:val="clear" w:color="auto" w:fill="E2EFDA"/>
          </w:tcPr>
          <w:p>
            <w:pPr>
              <w:jc w:val="left"/>
            </w:pPr>
            <w:r>
              <w:rPr>
                <w:rFonts w:ascii="TH SarabunPSK" w:hAnsi="TH SarabunPSK" w:cs="TH SarabunPSK"/>
                <w:b/>
                <w:sz w:val="26"/>
              </w:rPr>
              <w:t>Naive RAG</w:t>
            </w:r>
          </w:p>
        </w:tc>
        <w:tc>
          <w:tcPr>
            <w:tcW w:type="dxa" w:w="1728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6"/>
              </w:rPr>
              <w:t>+0.0655</w:t>
            </w:r>
          </w:p>
        </w:tc>
        <w:tc>
          <w:tcPr>
            <w:tcW w:type="dxa" w:w="1728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6"/>
              </w:rPr>
              <w:t>0.42</w:t>
            </w:r>
          </w:p>
        </w:tc>
        <w:tc>
          <w:tcPr>
            <w:tcW w:type="dxa" w:w="1728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6"/>
              </w:rPr>
              <w:t>0.0020</w:t>
            </w:r>
          </w:p>
        </w:tc>
        <w:tc>
          <w:tcPr>
            <w:tcW w:type="dxa" w:w="1728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6"/>
              </w:rPr>
              <w:t>** (p&lt;0.01)</w:t>
            </w:r>
          </w:p>
        </w:tc>
      </w:tr>
      <w:tr>
        <w:tc>
          <w:tcPr>
            <w:tcW w:type="dxa" w:w="1728"/>
            <w:shd w:val="clear" w:color="auto" w:fill="E2EFDA"/>
          </w:tcPr>
          <w:p>
            <w:pPr>
              <w:jc w:val="left"/>
            </w:pPr>
            <w:r>
              <w:rPr>
                <w:rFonts w:ascii="TH SarabunPSK" w:hAnsi="TH SarabunPSK" w:cs="TH SarabunPSK"/>
                <w:b/>
                <w:sz w:val="26"/>
              </w:rPr>
              <w:t>HyDE</w:t>
            </w:r>
          </w:p>
        </w:tc>
        <w:tc>
          <w:tcPr>
            <w:tcW w:type="dxa" w:w="1728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6"/>
              </w:rPr>
              <w:t>+0.1376</w:t>
            </w:r>
          </w:p>
        </w:tc>
        <w:tc>
          <w:tcPr>
            <w:tcW w:type="dxa" w:w="1728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6"/>
              </w:rPr>
              <w:t>0.46</w:t>
            </w:r>
          </w:p>
        </w:tc>
        <w:tc>
          <w:tcPr>
            <w:tcW w:type="dxa" w:w="1728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6"/>
              </w:rPr>
              <w:t>0.0009</w:t>
            </w:r>
          </w:p>
        </w:tc>
        <w:tc>
          <w:tcPr>
            <w:tcW w:type="dxa" w:w="1728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6"/>
              </w:rPr>
              <w:t>*** (p&lt;0.001)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rFonts w:ascii="TH SarabunPSK" w:hAnsi="TH SarabunPSK" w:cs="TH SarabunPSK"/>
                <w:b w:val="0"/>
                <w:sz w:val="26"/>
              </w:rPr>
              <w:t>Basic (Hybrid)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+0.0256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0.24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0.1025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ns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rFonts w:ascii="TH SarabunPSK" w:hAnsi="TH SarabunPSK" w:cs="TH SarabunPSK"/>
                <w:b w:val="0"/>
                <w:sz w:val="26"/>
              </w:rPr>
              <w:t>H2L-BM25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+0.0258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0.20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0.1025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H SarabunPSK" w:hAnsi="TH SarabunPSK" w:cs="TH SarabunPSK"/>
                <w:b w:val="0"/>
                <w:sz w:val="26"/>
              </w:rPr>
              <w:t>ns</w:t>
            </w:r>
          </w:p>
        </w:tc>
      </w:tr>
      <w:tr>
        <w:tc>
          <w:tcPr>
            <w:tcW w:type="dxa" w:w="1728"/>
            <w:shd w:val="clear" w:color="auto" w:fill="E2EFDA"/>
          </w:tcPr>
          <w:p>
            <w:pPr>
              <w:jc w:val="left"/>
            </w:pPr>
            <w:r>
              <w:rPr>
                <w:rFonts w:ascii="TH SarabunPSK" w:hAnsi="TH SarabunPSK" w:cs="TH SarabunPSK"/>
                <w:b/>
                <w:sz w:val="26"/>
              </w:rPr>
              <w:t>H2L-Naive RAG</w:t>
            </w:r>
          </w:p>
        </w:tc>
        <w:tc>
          <w:tcPr>
            <w:tcW w:type="dxa" w:w="1728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6"/>
              </w:rPr>
              <w:t>+0.0554</w:t>
            </w:r>
          </w:p>
        </w:tc>
        <w:tc>
          <w:tcPr>
            <w:tcW w:type="dxa" w:w="1728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6"/>
              </w:rPr>
              <w:t>0.38</w:t>
            </w:r>
          </w:p>
        </w:tc>
        <w:tc>
          <w:tcPr>
            <w:tcW w:type="dxa" w:w="1728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6"/>
              </w:rPr>
              <w:t>0.0053</w:t>
            </w:r>
          </w:p>
        </w:tc>
        <w:tc>
          <w:tcPr>
            <w:tcW w:type="dxa" w:w="1728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6"/>
              </w:rPr>
              <w:t>** (p&lt;0.01)</w:t>
            </w:r>
          </w:p>
        </w:tc>
      </w:tr>
      <w:tr>
        <w:tc>
          <w:tcPr>
            <w:tcW w:type="dxa" w:w="1728"/>
            <w:shd w:val="clear" w:color="auto" w:fill="E2EFDA"/>
          </w:tcPr>
          <w:p>
            <w:pPr>
              <w:jc w:val="left"/>
            </w:pPr>
            <w:r>
              <w:rPr>
                <w:rFonts w:ascii="TH SarabunPSK" w:hAnsi="TH SarabunPSK" w:cs="TH SarabunPSK"/>
                <w:b/>
                <w:sz w:val="26"/>
              </w:rPr>
              <w:t>H2L-HyDE</w:t>
            </w:r>
          </w:p>
        </w:tc>
        <w:tc>
          <w:tcPr>
            <w:tcW w:type="dxa" w:w="1728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6"/>
              </w:rPr>
              <w:t>+0.1263</w:t>
            </w:r>
          </w:p>
        </w:tc>
        <w:tc>
          <w:tcPr>
            <w:tcW w:type="dxa" w:w="1728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6"/>
              </w:rPr>
              <w:t>0.44</w:t>
            </w:r>
          </w:p>
        </w:tc>
        <w:tc>
          <w:tcPr>
            <w:tcW w:type="dxa" w:w="1728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6"/>
              </w:rPr>
              <w:t>0.0014</w:t>
            </w:r>
          </w:p>
        </w:tc>
        <w:tc>
          <w:tcPr>
            <w:tcW w:type="dxa" w:w="1728"/>
            <w:shd w:val="clear" w:color="auto" w:fill="E2EFDA"/>
          </w:tcPr>
          <w:p>
            <w:pPr>
              <w:jc w:val="center"/>
            </w:pPr>
            <w:r>
              <w:rPr>
                <w:rFonts w:ascii="TH SarabunPSK" w:hAnsi="TH SarabunPSK" w:cs="TH SarabunPSK"/>
                <w:b/>
                <w:sz w:val="26"/>
              </w:rPr>
              <w:t>** (p&lt;0.01)</w:t>
            </w:r>
          </w:p>
        </w:tc>
      </w:tr>
    </w:tbl>
    <w:p>
      <w:pPr>
        <w:spacing w:before="0" w:after="80" w:line="336" w:lineRule="auto"/>
        <w:jc w:val="both"/>
      </w:pPr>
      <w:r>
        <w:rPr>
          <w:rFonts w:ascii="TH SarabunPSK" w:hAnsi="TH SarabunPSK" w:cs="TH SarabunPSK"/>
          <w:b w:val="0"/>
          <w:sz w:val="32"/>
        </w:rPr>
      </w:r>
    </w:p>
    <w:p>
      <w:pPr>
        <w:spacing w:before="0" w:after="120" w:line="336" w:lineRule="auto"/>
        <w:jc w:val="both"/>
      </w:pPr>
      <w:r>
        <w:rPr>
          <w:rFonts w:ascii="TH SarabunPSK" w:hAnsi="TH SarabunPSK" w:cs="TH SarabunPSK"/>
          <w:b w:val="0"/>
          <w:sz w:val="26"/>
        </w:rPr>
        <w:t>หมายเหตุ: *** หมายถึง p &lt; 0.001, ** หมายถึง p &lt; 0.01, * หมายถึง p &lt; 0.05 และ ns หมายถึงไม่มีนัยสำคัญทางสถิติ (ค่า p ทั้งหมดผ่านการปรับด้วย Holm-Bonferroni แล้ว)</w:t>
      </w:r>
    </w:p>
    <w:p>
      <w:pPr>
        <w:spacing w:before="0" w:after="120" w:line="336" w:lineRule="auto"/>
        <w:jc w:val="both"/>
      </w:pPr>
      <w:r>
        <w:rPr>
          <w:rFonts w:ascii="TH SarabunPSK" w:hAnsi="TH SarabunPSK" w:cs="TH SarabunPSK"/>
          <w:b w:val="0"/>
          <w:sz w:val="32"/>
        </w:rPr>
        <w:t>จากตาราง กลยุทธ์ H2L-Hybrid มีประสิทธิภาพเหนือกว่ากลยุทธ์ Naive RAG, HyDE, H2L-Naive RAG และ H2L-HyDE อย่างมีนัยสำคัญทางสถิติ (p &lt; 0.05 หลังการปรับแก้) โดยมีขนาดผลระดับปานกลาง (Cohen’s d อยู่ระหว่าง 0.38 ถึง 0.46) สำหรับการเปรียบเทียบกับ BM25 Only, Basic (Hybrid) และ H2L-BM25 นั้น แม้ค่าเฉลี่ยของ H2L-Hybrid จะสูงกว่าทุกกรณี แต่ความแตกต่างยังไม่ถึงระดับนัยสำคัญหลังการปรับแก้แบบ Holm-Bonferroni ซึ่งเป็นผลที่สมเหตุสมผลเนื่องจากกลยุทธ์ทั้งสามนี้เป็นวิธีที่แข็งแกร่งอยู่แล้ว โดยเฉพาะ H2L-BM25 ที่ใช้กลไก H2L เช่นเดียวกัน ผลนี้ชี้ว่าประโยชน์หลักของ H2L-Hybrid มาจากการผสานกลไก H2L เข้ากับการค้นคืนแบบไฮบริด และความเหนือกว่าเด่นชัดที่สุดเมื่อเทียบกับกลยุทธ์ที่ไม่มีโครงสร้างการตรวจจับปัญหาสองระดับ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PSK" w:hAnsi="TH SarabunPSK" w:cs="TH SarabunPSK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