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 w:line="276" w:lineRule="auto"/>
        <w:jc w:val="center"/>
      </w:pPr>
      <w:r>
        <w:rPr>
          <w:rFonts w:ascii="TH Sarabun PSK" w:hAnsi="TH Sarabun PSK"/>
          <w:b/>
          <w:i w:val="0"/>
          <w:color w:val="003366"/>
          <w:sz w:val="44"/>
        </w:rPr>
        <w:t>บทที่ 4: ผลการทดลองและการวิเคราะห์ข้อมูล (Results and Analysis)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บทนี้นำเสนอผลการทดลองและการวิเคราะห์ข้อมูลจากการประเมินประสิทธิภาพของระบบ </w:t>
      </w:r>
      <w:r>
        <w:rPr>
          <w:rFonts w:ascii="TH Sarabun PSK" w:hAnsi="TH Sarabun PSK"/>
          <w:b/>
          <w:color w:val="000000"/>
          <w:sz w:val="32"/>
        </w:rPr>
        <w:t>H2L (Hierarchy-to-Language Framework)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สำหรับการวิเคราะห์ข้อความและการค้นคืนกรณีศึกษาสังคมสงเคราะห์และสุขภาวะภาษาไทย โดยทำการประเมินผลเชิงเปรียบเทียบเต็มรูปแบบ (Full Benchmark Matrix Evaluation) บนชุดข้อมูลทดสอบมาตรฐานจำนวน </w:t>
      </w:r>
      <w:r>
        <w:rPr>
          <w:rFonts w:ascii="TH Sarabun PSK" w:hAnsi="TH Sarabun PSK"/>
          <w:b/>
          <w:color w:val="000000"/>
          <w:sz w:val="32"/>
        </w:rPr>
        <w:t>95 กรณีศึกษา (95 Test Cases)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ครอบคลุมการประมวลผลซ้ำอย่างอิสระ 3 รอบ (</w:t>
      </w:r>
      <w:r>
        <w:rPr>
          <w:rFonts w:ascii="TH Sarabun PSK" w:hAnsi="TH Sarabun PSK"/>
          <w:b/>
          <w:color w:val="000000"/>
          <w:sz w:val="32"/>
        </w:rPr>
        <w:t>3 Repeats</w:t>
      </w:r>
      <w:r>
        <w:rPr>
          <w:rFonts w:ascii="TH Sarabun PSK" w:hAnsi="TH Sarabun PSK"/>
          <w:b w:val="0"/>
          <w:i w:val="0"/>
          <w:color w:val="000000"/>
          <w:sz w:val="32"/>
        </w:rPr>
        <w:t>) ร่วมกับโมเดลภาษาขนาดใหญ่จำนวน 3 โมเดล (</w:t>
      </w:r>
      <w:r>
        <w:rPr>
          <w:rFonts w:ascii="Courier New" w:hAnsi="Courier New"/>
          <w:color w:val="B42828"/>
          <w:sz w:val="30"/>
        </w:rPr>
        <w:t>Qwen2.5-7B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Typhoon-Gemma3-4B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รวมจำนวนการประมวลผลทั้งสิ้น </w:t>
      </w:r>
      <w:r>
        <w:rPr>
          <w:rFonts w:ascii="TH Sarabun PSK" w:hAnsi="TH Sarabun PSK"/>
          <w:b/>
          <w:color w:val="000000"/>
          <w:sz w:val="32"/>
        </w:rPr>
        <w:t>6,840 หน่วยการทดลอง (6,840 Evaluation Units)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การรายงานผลแบ่งออกเป็น 8 ส่วนหลัก ได้แก่: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กรอบการประเมินผลและข้อมูลที่ใช้ (Evaluation Framework &amp; Dataset Protocols)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ผลการประเมิน Contextual Polarity Gate (Sentence Polarity Analysis)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ผลการประเมินประสิทธิภาพการค้นคืนเอกสารและการทดสอบนัยสำคัญทางสถิติ (Retrieval Performance &amp; Statistical Significance)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4. </w:t>
      </w:r>
      <w:r>
        <w:rPr>
          <w:rFonts w:ascii="TH Sarabun PSK" w:hAnsi="TH Sarabun PSK"/>
          <w:b/>
          <w:color w:val="000000"/>
          <w:sz w:val="32"/>
        </w:rPr>
        <w:t>ผลการเปรียบเทียบแบบจำลองภาษาในชั้น L2 (L2 LLM Backbone Comparison)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5. </w:t>
      </w:r>
      <w:r>
        <w:rPr>
          <w:rFonts w:ascii="TH Sarabun PSK" w:hAnsi="TH Sarabun PSK"/>
          <w:b/>
          <w:color w:val="000000"/>
          <w:sz w:val="32"/>
        </w:rPr>
        <w:t>ผลการวิเคราะห์องค์ประกอบย่อยและความไวของพารามิเตอร์ (Component Ablation Study &amp; Parameter Sensitivity)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6. </w:t>
      </w:r>
      <w:r>
        <w:rPr>
          <w:rFonts w:ascii="TH Sarabun PSK" w:hAnsi="TH Sarabun PSK"/>
          <w:b/>
          <w:color w:val="000000"/>
          <w:sz w:val="32"/>
        </w:rPr>
        <w:t>ผลการทดสอบความทนทานต่อกรณีศึกษาท้าทาย (Adversarial Stress Test Analysis)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7. </w:t>
      </w:r>
      <w:r>
        <w:rPr>
          <w:rFonts w:ascii="TH Sarabun PSK" w:hAnsi="TH Sarabun PSK"/>
          <w:b/>
          <w:color w:val="000000"/>
          <w:sz w:val="32"/>
        </w:rPr>
        <w:t>การจำแนกประสิทธิภาพตามระดับความซับซ้อนของกรณีศึกษา (Performance Breakdown by Complexity)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8. </w:t>
      </w:r>
      <w:r>
        <w:rPr>
          <w:rFonts w:ascii="TH Sarabun PSK" w:hAnsi="TH Sarabun PSK"/>
          <w:b/>
          <w:color w:val="000000"/>
          <w:sz w:val="32"/>
        </w:rPr>
        <w:t>กรณีศึกษาเชิงคุณภาพและการวิเคราะห์ข้อผิดพลาด (Qualitative Case Studies &amp; Error Analysis)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4.1 กรอบการประเมินผลและข้อมูลที่ใช้ (Evaluation Protocols)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4.1.1 ชุดข้อมูลและการจัดการ Data Leakage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ชุดข้อมูลทดสอบหลัก </w:t>
      </w:r>
      <w:r>
        <w:rPr>
          <w:rFonts w:ascii="Courier New" w:hAnsi="Courier New"/>
          <w:color w:val="B42828"/>
          <w:sz w:val="30"/>
        </w:rPr>
        <w:t>expanded_ground_truth.json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ประกอบด้วยกรณีศึกษาทางสังคมสงเคราะห์รวมทั้งสิ้น </w:t>
      </w:r>
      <w:r>
        <w:rPr>
          <w:rFonts w:ascii="TH Sarabun PSK" w:hAnsi="TH Sarabun PSK"/>
          <w:b/>
          <w:color w:val="000000"/>
          <w:sz w:val="32"/>
        </w:rPr>
        <w:t>220 กรณีศึกษา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แบ่งออกเป็นชุดฝึกสอน (Train Set) จำนวน 125 กรณีศึกษา และชุดทดสอบมาตรฐาน (Test Set) จำนวน </w:t>
      </w:r>
      <w:r>
        <w:rPr>
          <w:rFonts w:ascii="TH Sarabun PSK" w:hAnsi="TH Sarabun PSK"/>
          <w:b/>
          <w:color w:val="000000"/>
          <w:sz w:val="32"/>
        </w:rPr>
        <w:t>95 กรณีศึกษา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โดยการแบ่งชุดข้อมูลปฏิบัติตามหลัก </w:t>
      </w:r>
      <w:r>
        <w:rPr>
          <w:rFonts w:ascii="TH Sarabun PSK" w:hAnsi="TH Sarabun PSK"/>
          <w:b/>
          <w:color w:val="000000"/>
          <w:sz w:val="32"/>
        </w:rPr>
        <w:t>Family-Level Leakage-Safe Split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เพื่อป้องกันปัญหาน้ำหนักรั่วไหลระหว่างชุดข้อมูล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ผลการตรวจสอบความบริสุทธิ์ของข้อมูล (</w:t>
      </w:r>
      <w:r>
        <w:rPr>
          <w:rFonts w:ascii="Courier New" w:hAnsi="Courier New"/>
          <w:color w:val="B42828"/>
          <w:sz w:val="30"/>
        </w:rPr>
        <w:t>ground_truth_audit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ยืนยันว่าไม่พบความรั่วไหลของกรณีศึกษาในครอบครัวเดียวกันข้ามชุดข้อมูล (0 Family Leakage) และไม่พบคู่กรณีศึกษาที่มีความคล้ายคลึงกันสูงเกินเกณฑ์มาตรฐาน (0 Near-duplicate pairs) 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4.1 สรุปข้อกำหนดการประเมินผล (Evaluation Benchmark Protocol)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รายการ (Parameter)</w:t>
            </w:r>
          </w:p>
        </w:tc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ข้อกำหนด (Specification)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จำนวนกรณีศึกษาในชุดข้อมูลรวม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220 กรณีศึกษา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การแบ่งชุดฝึกสอน / ชุดทดสอบ (Train / Test Split)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125 กรณีศึกษา / **95 กรณีศึกษา**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จำนวนกรณีศึกษาท้าทาย (Adversarial Test Slice)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20 กรณีศึกษา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จำนวนกรณีศึกษาย้อนศรประโยคปฏิเสธ (Polarity Test Slice)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95 กรณีศึกษา (ประเมินทั้งชุดทดสอบ พบ 18 เคสที่มีการปฏิเสธ)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จำนวนกรณีศึกษาทั่วไปและขยายความ (Standard/Augmented Slice)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75 กรณีศึกษา (95 − 20 adversarial)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โมเดลเปรียบเทียบในชั้น L2 Detection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`Qwen2.5-7B`, `Typhoon2-8B`, `Typhoon-Gemma3-4B`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จำนวนรอบการประเมินซ้ำ (Repeats per Case)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3 รอบอิสระ (3 Independent Repeats)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จำนวนกลยุทธ์การค้นคืน (Retrieval Strategies)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8 กลยุทธ์ (`bm25_only`, `naive_rag`, `hyde`, `basic`, `h2l-bm25`, `h2l-naive_rag`, `h2l-hyde`, `h2l-hybrid`)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จำนวนหน่วยประมวลผลรวม (Total Evaluation Units)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**6,840 Units** ($95 \text{ cases} \times 3 \text{ models} \times 3 \text{ repeats} \times 8 \text{ strategies}$)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ข้อกำหนดการดึงเอกสาร (Retrieval Protocol)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`problem_source=detected`, `top_k=15`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การทดสอบนัยสำคัญทางสถิติ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Paired Two-Sided Wilcoxon Signed-Rank Test ($n=95$) + Holm-Bonferroni Correction</w:t>
            </w:r>
          </w:p>
        </w:tc>
      </w:tr>
    </w:tbl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4.2 ผลการประเมิน Contextual Polarity Gate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กลไก Contextual Polarity Gate ในระบบ H2L ถูกออกแบบขึ้นเพื่อแก้ปัญหาบวกเท็จ (False Positive) ที่เกิดจากการพบคำสำคัญในประโยคปฏิเสธ ประโยคอ้างถึงบุคคลอื่น หรือเหตุการณ์ในอดีต โดยตรวจสอบหน้าต่างบริบท (Window Size = 30 ตัวอักษร) ก่อนและหลังคำสำคัญ เพื่อคำนวณตัวคูณยับยั้ง ($G_{\text{neg}}$)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การประเมินทำบนชุดทดสอบมาตรฐานทั้งหมด 95 กรณีศึกษา โดยใช้ Contextual Polarity Gate ตรวจสอบหน้าต่างบริบท 30 ตัวอักษร พบว่า 18 เคสมีรูปแบบปฏิเสธ (Negated) และ 77 เคสยืนยัน (Positive) ผลสรุปดังแสดงในตารางที่ 4.2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4.2 ผลการประเมินประสิทธิภาพของ Contextual Polarity Gate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ตัวชี้วัด (Metric)</w:t>
            </w:r>
          </w:p>
        </w:tc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ค่าที่วัดได้ (Value)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จำนวนเคสทดสอบทั้งหมด (Total Test Cases)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95 เคส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สัดส่วน Positive Cases / Negated Cases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77 เคส / 18 เคส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**ความถูกต้องรวม (Accuracy)**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**86.32%** (0.8632)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**อัตราการตรวจจับการปฏิเสธ (Negation Detection Rate: NDR)**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**72.22%** (13/18 เคส)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**อัตราเกิดบวกเท็จในเคสยืนยัน (False Positive Rate: FPR)**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**10.39%** (8/77 เคส)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ความแม่นยำ (Precision)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61.90% (0.6190)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เอฟวันสเกอร์ (F1-score)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66.67% (0.6667)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ค่าเฉลี่ยตัวคูณ $G_{\text{neg}}$ สำหรับ Positive Cases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**0.9675** (เกือบไม่ถูกลดทอน)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ค่าเฉลี่ยตัวคูณ $G_{\text{neg}}$ สำหรับ Negated Cases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**0.6000** (ถูกลดน้ำหนักอย่างชัดเจน)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เมื่อจำแนกตามความยาวของข้อความกรณีศึกษา พบว่าในข้อความสั้น ระบบสามารถตรวจจับการปฏิเสธได้สมบูรณ์ </w:t>
      </w:r>
      <w:r>
        <w:rPr>
          <w:rFonts w:ascii="TH Sarabun PSK" w:hAnsi="TH Sarabun PSK"/>
          <w:b/>
          <w:color w:val="000000"/>
          <w:sz w:val="32"/>
        </w:rPr>
        <w:t>100.0% (6/6 เคส)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ข้อความปานกลางทำได้ </w:t>
      </w:r>
      <w:r>
        <w:rPr>
          <w:rFonts w:ascii="TH Sarabun PSK" w:hAnsi="TH Sarabun PSK"/>
          <w:b/>
          <w:color w:val="000000"/>
          <w:sz w:val="32"/>
        </w:rPr>
        <w:t>66.7% (4/6 เคส)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และข้อความยาวทำได้ </w:t>
      </w:r>
      <w:r>
        <w:rPr>
          <w:rFonts w:ascii="TH Sarabun PSK" w:hAnsi="TH Sarabun PSK"/>
          <w:b/>
          <w:color w:val="000000"/>
          <w:sz w:val="32"/>
        </w:rPr>
        <w:t>50.0% (3/6 เคส)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ซึ่งสะท้อนว่า Contextual Polarity Gate ทำหน้าที่เป็นกลไกยับยั้งบวกเท็จได้อย่างมีประสิทธิภาพสูงในประโยคระดับปานกลาง แต่อัตรา FPR ที่ 10.39% แสดงว่ายังคงมีโอกาสเกิดบวกเท็จในเคสบางส่วน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4.3 ผลการประเมินประสิทธิภาพการค้นคืนเอกสารและการทดสอบนัยสำคัญทางสถิติ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4.3.1 ผลการเปรียบเทียบภาพรวมของทั้ง 8 กลยุทธ์ (n=95 กรณีศึกษา, 3 Repeats Average)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การประเมินประสิทธิภาพการค้นคืนเอกสารอ้างอิงและคู่มือแนวปฏิบัติ ดำเนินการบนชุดทดสอบมาตรฐาน 95 กรณีศึกษา โดยสรุปค่าเฉลี่ยจากการรันประมวลผลซ้ำ 3 รอบ ร่วมกับโมเดลภาษา Qwen 2.5 7B ดึงเอกสารลำดับสูงสุด 15 รายการ ($k=15$) ผลสรุปแสดงในตารางที่ 4.3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4.3 ผลการประเมินประสิทธิภาพการค้นคืนเอกสารของทั้ง 8 กลยุทธ์ (n=95 เคส, 3 Repeats Mean)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กลยุทธ์ (Retrieval Strategy)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P@5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Median Latency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🥇 **`h2l-hybrid` (Proposed)**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**0.2467**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**0.2801**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**0.2485**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**0.2734**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**0.1221**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**1,043.3 ms**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🥈 `basic` (Basic Hybrid)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0.2346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0.2686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0.2351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0.2565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0.1221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1,140.9 ms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🥉 `bm25_only` (Keyword)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0.2290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0.2773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0.2221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0.2422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0.1095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**0.79 ms**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4️⃣ `h2l-bm25`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0.2233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0.2611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0.2369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0.2563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1.36 ms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5️⃣ `h2l-naive_rag`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0.1999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0.2622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0.2017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0.2319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0.0989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18.24 ms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6️⃣ `naive_rag` (Baseline)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0.1970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0.2504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0.2019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0.2236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0.1011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38.11 ms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7️⃣ `h2l-hyde`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0.0807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0.0896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0.0722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0.1025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0.0288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4,840.5 ms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8️⃣ `hyde` (Hypothetical Doc)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0.0798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0.0732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0.0920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0.0316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4,596.0 ms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การวิเคราะห์ผลเชิงประจักษ์: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`h2l-hybrid` ชนะเลิศทุกเมทริกซ์การวัดผลหลัก: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กลยุทธ์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ทำคะแนนสูงสุดในทุกมิติ โดยทำค่า </w:t>
      </w:r>
      <w:r>
        <w:rPr>
          <w:rFonts w:ascii="TH Sarabun PSK" w:hAnsi="TH Sarabun PSK"/>
          <w:b/>
          <w:color w:val="000000"/>
          <w:sz w:val="32"/>
        </w:rPr>
        <w:t>MAP = 0.2467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b/>
          <w:color w:val="000000"/>
          <w:sz w:val="32"/>
        </w:rPr>
        <w:t>MRR = 0.2801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b/>
          <w:color w:val="000000"/>
          <w:sz w:val="32"/>
        </w:rPr>
        <w:t>nDCG@5 = 0.2485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b/>
          <w:color w:val="000000"/>
          <w:sz w:val="32"/>
        </w:rPr>
        <w:t>nDCG@10 = 0.2734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สูงกว่า Baseline ดั้งเดิมทุกตัวอย่างเห็นได้ชัด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การยกระดับประสิทธิภาพจาก H2L Layer: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เมื่อเปรียบเทียบ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กับ </w:t>
      </w:r>
      <w:r>
        <w:rPr>
          <w:rFonts w:ascii="Courier New" w:hAnsi="Courier New"/>
          <w:color w:val="B42828"/>
          <w:sz w:val="30"/>
        </w:rPr>
        <w:t>basic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(Basic Hybrid Search) พบว่า H2L ช่วยเพิ่มค่า nDCG@10 ขึ้นจาก </w:t>
      </w:r>
      <w:r>
        <w:rPr>
          <w:rFonts w:ascii="Courier New" w:hAnsi="Courier New"/>
          <w:color w:val="B42828"/>
          <w:sz w:val="30"/>
        </w:rPr>
        <w:t>0.2565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เป็น </w:t>
      </w:r>
      <w:r>
        <w:rPr>
          <w:rFonts w:ascii="Courier New" w:hAnsi="Courier New"/>
          <w:color w:val="B42828"/>
          <w:sz w:val="30"/>
        </w:rPr>
        <w:t>0.2734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(+6.6%) และเพิ่ม MAP จาก </w:t>
      </w:r>
      <w:r>
        <w:rPr>
          <w:rFonts w:ascii="Courier New" w:hAnsi="Courier New"/>
          <w:color w:val="B42828"/>
          <w:sz w:val="30"/>
        </w:rPr>
        <w:t>0.2346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เป็น </w:t>
      </w:r>
      <w:r>
        <w:rPr>
          <w:rFonts w:ascii="Courier New" w:hAnsi="Courier New"/>
          <w:color w:val="B42828"/>
          <w:sz w:val="30"/>
        </w:rPr>
        <w:t>0.2467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(+5.2%)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4.3.2 ผลการทดสอบนัยสำคัญทางสถิติ (Statistical Significance Testing on n=95)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ผลการทดสอบนัยสำคัญทางสถิติด้วย </w:t>
      </w:r>
      <w:r>
        <w:rPr>
          <w:rFonts w:ascii="TH Sarabun PSK" w:hAnsi="TH Sarabun PSK"/>
          <w:b/>
          <w:color w:val="000000"/>
          <w:sz w:val="32"/>
        </w:rPr>
        <w:t>Paired Two-Sided Wilcoxon Signed-Rank Test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บน $n=95$ กรณีศึกษา ร่วมกับการปรับแก้ Holm-Bonferroni Correction แสดงดังตารางที่ 4.4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4.4 ผลการทดสอบนัยสำคัญทางสถิติแบบคู่ (n=95 กรณีศึกษา, Holm-Bonferroni Correction)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คู่เปรียบเทียบ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ตัวชี้วัด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Baseline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H2L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$\Delta$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Raw $p$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Holm $p$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ข้อสรุป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`naive_rag` vs `h2l-hybrid`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nDCG@5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0.2019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**+0.0466**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0.0063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0.0251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🟢 มีนัยสำคัญ ($p &lt; 0.05$)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`naive_rag` vs `h2l-hybrid`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nDCG@10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0.2236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0.2734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**+0.0498**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0.0010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0.0052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🟢 มีนัยสำคัญ ($p &lt; 0.01$)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`h2l-naive_rag` vs `h2l-hybrid`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nDCG@5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0.2017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**+0.0468**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0.0034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0.0168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🟢 มีนัยสำคัญ ($p &lt; 0.05$)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`h2l-naive_rag` vs `h2l-hybrid`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nDCG@10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0.2319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0.2734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**+0.0415**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0.0034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0.0135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🟢 มีนัยสำคัญ ($p &lt; 0.05$)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 vs `h2l-hybrid`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nDCG@5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0.2221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+0.0263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0.0450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0.1349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🟡 ไม่มีนัยสำคัญหลังปรับ Holm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 vs `h2l-hybrid`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nDCG@5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0.2351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+0.0134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0.0640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0.1349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🟡 ไม่มีนัยสำคัญหลังปรับ Holm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`h2l-bm25` vs `h2l-hybrid`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nDCG@5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0.2369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+0.0116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0.2904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0.2904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🟡 ไม่มีนัยสำคัญ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หมายเหตุ: median ผลต่างรายกรณีเป็น 0 ในทุกคู่ เคสที่ต่างกันจริงมี 13–30 จาก 95 กรณีเท่านั้น แสดงว่าประโยชน์ของ H2L กระจุกอยู่ในกรณีศึกษาส่วนน้อย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ข้อสรุปเชิงสถิติ: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เหนือกว่าอย่างมีนัยสำคัญ (หลังปรับ Holm) 4 จาก 7 คู่เทียบ ซึ่งได้แก่กลุ่ม naive RAG และ dense retrieval ทั้งสองเวอร์ชัน แต่ยังไม่แตกต่างอย่างมีนัยสำคัญจาก </w:t>
      </w:r>
      <w:r>
        <w:rPr>
          <w:rFonts w:ascii="Courier New" w:hAnsi="Courier New"/>
          <w:color w:val="B42828"/>
          <w:sz w:val="30"/>
        </w:rPr>
        <w:t>bm25_only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basic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Courier New" w:hAnsi="Courier New"/>
          <w:color w:val="B42828"/>
          <w:sz w:val="30"/>
        </w:rPr>
        <w:t>h2l-bm25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ซึ่งเป็น baseline ที่แข็งกว่า ประโยชน์ของ H2L ปรากฏชัดกว่าเมื่อพิจารณาที่ cutoff @10 เทียบกับ @5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4.A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แสดงผลต่าง nDCG@5 รายเคส h2l-hybrid − basic (เรียงจากน้อยไปมาก) ชี้ให้เห็นว่า 82 ใน 95 เคส (86%) ไม่มีผลต่าง (median Δ = 0) ผลได้กระจุกอยู่ใน 10 เคส และมี 3 เคสที่ basic ทำได้ดีกว่า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Forest plot แสดงขนาดผลกระทบ (rank-biserial) ของทุกคู่เทียบ พร้อมสถานะ Holm correction ที่มองเห็นได้ชัด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![รูปที่ 4.A ผลต่าง nDCG@5 รายเคส](../output/figures_ch4/fig_4a_paired_diff.png)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![รูปที่ 4.B Forest Plot Holm-corrected](../output/figures_ch4/fig_4b_forest_plot.png)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4.4 ผลการเปรียบเทียบแบบจำลองภาษาในชั้น L2 (L2 LLM Backbone Comparison)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ผู้วิจัยได้ทำการทดสอบเปรียบเทียบประสิทธิภาพของโมเดลภาษาขนาดใหญ่ (LLMs) จำนวน 3 โมเดล ในชั้น L2 Semantic Validation ได้แก่ </w:t>
      </w:r>
      <w:r>
        <w:rPr>
          <w:rFonts w:ascii="Courier New" w:hAnsi="Courier New"/>
          <w:color w:val="B42828"/>
          <w:sz w:val="30"/>
        </w:rPr>
        <w:t>Qwen2.5-7B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และ </w:t>
      </w:r>
      <w:r>
        <w:rPr>
          <w:rFonts w:ascii="Courier New" w:hAnsi="Courier New"/>
          <w:color w:val="B42828"/>
          <w:sz w:val="30"/>
        </w:rPr>
        <w:t>Typhoon-Gemma3-4B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 Template-Fix v2) ข้ามการรัน 3 รอบ (285 Runs ต่อโมเดล) ผลลัพธ์แสดงดังตารางที่ 4.5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4.5 ผลการเปรียบเทียบประสิทธิภาพโมเดลภาษาในชั้น L2 Detection (285 Runs per Model)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โมเดล (Model)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Macro F1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Micro F1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Exact Match Rate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Mean Jaccard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L2 Degraded Rate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Median Latency (L2)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Mean Total Latency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**`Qwen2.5-7B`**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**0.3823**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**0.3937**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**13.68%**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**0.3282**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**0.00%**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**14.47 s**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**10.73 s**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**`Typhoon2-8B`**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**0.3823**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**0.3937**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**13.68%**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**0.3278**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**0.00%**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27.01 s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19.88 s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**`Gemma3-4B (Fix)`**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**0.3815**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**0.3937**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**13.68%**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**0.3271**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**1.54%***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**19.60 s**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**13.23 s**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หมายเหตุ: L2 Degraded Rate ของ Gemma 3 4B เกิดขึ้นเพียง 1.54% (3 จาก 195 L2 triggers) ซึ่งระบบสามารถแก้ไขผ่าน Fallback Retry ได้สมบูรณ์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การวิเคราะห์ผล: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ความเสถียรข้ามสถาปัตยกรรม: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ทั้ง 3 โมเดลทำค่า Macro F1 (</w:t>
      </w:r>
      <w:r>
        <w:rPr>
          <w:rFonts w:ascii="Courier New" w:hAnsi="Courier New"/>
          <w:color w:val="B42828"/>
          <w:sz w:val="30"/>
        </w:rPr>
        <w:t>0.3815–0.3823</w:t>
      </w:r>
      <w:r>
        <w:rPr>
          <w:rFonts w:ascii="TH Sarabun PSK" w:hAnsi="TH Sarabun PSK"/>
          <w:b w:val="0"/>
          <w:i w:val="0"/>
          <w:color w:val="000000"/>
          <w:sz w:val="32"/>
        </w:rPr>
        <w:t>) และ Micro F1 (</w:t>
      </w:r>
      <w:r>
        <w:rPr>
          <w:rFonts w:ascii="Courier New" w:hAnsi="Courier New"/>
          <w:color w:val="B42828"/>
          <w:sz w:val="30"/>
        </w:rPr>
        <w:t>0.3937</w:t>
      </w:r>
      <w:r>
        <w:rPr>
          <w:rFonts w:ascii="TH Sarabun PSK" w:hAnsi="TH Sarabun PSK"/>
          <w:b w:val="0"/>
          <w:i w:val="0"/>
          <w:color w:val="000000"/>
          <w:sz w:val="32"/>
        </w:rPr>
        <w:t>) ใกล้เคียงกันอย่างยิ่ง โมเดลทั้งสามเห็นพ้องกันใน predicted codes 264 จาก 285 เซลล์ (92.6%) แสดงว่าผลการตรวจจับปัญหามีความสอดคล้องสูงข้ามสถาปัตยกรรม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ความเร็วการประมวลผล: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Courier New" w:hAnsi="Courier New"/>
          <w:color w:val="B42828"/>
          <w:sz w:val="30"/>
        </w:rPr>
        <w:t>Qwen 2.5 (7B)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เร็วที่สุด (Median L2 Latency 14.47 วินาที) ตามด้วย </w:t>
      </w:r>
      <w:r>
        <w:rPr>
          <w:rFonts w:ascii="Courier New" w:hAnsi="Courier New"/>
          <w:color w:val="B42828"/>
          <w:sz w:val="30"/>
        </w:rPr>
        <w:t>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(19.60 วินาที) และ </w:t>
      </w:r>
      <w:r>
        <w:rPr>
          <w:rFonts w:ascii="Courier New" w:hAnsi="Courier New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(27.01 วินาที)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4.5 ผลการวิเคราะห์องค์ประกอบย่อยและความไวของพารามิเตอร์ (Ablation &amp; Sensitivity)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4.5.1 ผลการวิเคราะห์องค์ประกอบย่อย (Component Ablation Analysis)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ผลการทดลองทำ Ablation บน H2L V6 Functions เพื่อดูขนาดอิทธิพล (Effect Size: Cohen's $d$) ต่อคะแนนระบบ แสดงดังตารางที่ 4.6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4.6 ผลการวิเคราะห์องค์ประกอบย่อย H2L V6 Components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การตั้งค่า (Configuration)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H2L Mean Score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Cohen's $d$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$p$-value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ระดับอิทธิพล (Effect Size)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**Full H2L V6 (Baseline)**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**0.3410**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**0.3453**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**1.8947**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—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—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Baseline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Product Mode (แทน Weighted-Sum)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0.3418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0.3454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0.3283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**0.932**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&lt; 0.001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**Large Effect** (Scale Shift)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Adaptive Alpha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0.3410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0.3453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1.1377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**0.409**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&lt; 0.001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**Small Effect**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IDF Specificity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0.3410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0.3453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1.4929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0.184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—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Negligible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Negation Gate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0.3410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0.3453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1.5273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0.167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—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Negligible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Bayesian Prior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0.3410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0.3453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2.0146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-0.048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—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Negligible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แสดง score-vs-rank decoupling: H2L internal score ขยับจาก 0.33 ถึง 2.01 ข้ามเงื่อนไข แต่ nDCG@5 แทบไม่ขยับ (±0.001) บ่งชี้ว่ากลไกคะแนนส่งผลต่อ internal weighting มากกว่าอันดับเอกสารสุดท้าย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![รูปที่ 4.D Score vs Rank Decoupling](../output/figures_ch4/fig_4d_decoupling.png)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4.5.2 ผลการวิเคราะห์ความไวของพารามิเตอร์ (Parameter Sensitivity)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ผลการวิเคราะห์ความไวแบบ One-at-a-Time (OAT Sensitivity) บนพารามิเตอร์หลัก 6 ตัวที่ถูก exercise จริงในฟังก์ชันคะแนน ได้แก่ $\lambda_{\text{neg}}, \mu, \kappa, T_{\text{range}}, \alpha_0, T_{\text{base}}$ พบว่า </w:t>
      </w:r>
      <w:r>
        <w:rPr>
          <w:rFonts w:ascii="TH Sarabun PSK" w:hAnsi="TH Sarabun PSK"/>
          <w:b/>
          <w:color w:val="000000"/>
          <w:sz w:val="32"/>
        </w:rPr>
        <w:t>4 จาก 6 พารามิเตอร์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($\lambda_{\text{neg}}, \mu, \kappa, T_{\text{range}}$) มีค่าการเปลี่ยนแปลงไม่เกิน </w:t>
      </w:r>
      <w:r>
        <w:rPr>
          <w:rFonts w:ascii="TH Sarabun PSK" w:hAnsi="TH Sarabun PSK"/>
          <w:b/>
          <w:color w:val="000000"/>
          <w:sz w:val="32"/>
        </w:rPr>
        <w:t>2.25%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เมื่อปรับ $\pm 30$–$50\%$ ยืนยันว่าค่าพารามิเตอร์ที่กำหนดจากโดเมนทฤษฎีมีความเสถียรสูง มีเพียง $\alpha_0$ (Base Weight multiplier) และ $T_{\text{base}}$ (Calibration Temp) ที่อ่อนไหวต่อสเกล ซึ่งได้รับการปรับจูนตามหลักคณิตศาสตร์เรียบร้อยแล้ว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4.5.3 ผลการวิเคราะห์ผลกระทบของ L2 Filtering ต่อประสิทธิภาพการค้นคืน (RQ1)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การทดลองนี้เปรียบเทียบสองเงื่อนไขการตรวจจับปัญหาที่ใช้การให้คะแนน H2L เหมือนกันทุกประการ โดยต่างกันเฉพาะที่ชั้นตรวจจับ: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L1+L2 detection</w:t>
      </w:r>
      <w:r>
        <w:rPr>
          <w:rFonts w:ascii="TH Sarabun PSK" w:hAnsi="TH Sarabun PSK"/>
          <w:b w:val="0"/>
          <w:i w:val="0"/>
          <w:color w:val="000000"/>
          <w:sz w:val="32"/>
        </w:rPr>
        <w:t>: ผลลัพธ์จาก L1 keyword detection ผ่านการกรองและ validate ด้วย L2 LLM (Qwen2.5-7B)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L1-only detection</w:t>
      </w:r>
      <w:r>
        <w:rPr>
          <w:rFonts w:ascii="TH Sarabun PSK" w:hAnsi="TH Sarabun PSK"/>
          <w:b w:val="0"/>
          <w:i w:val="0"/>
          <w:color w:val="000000"/>
          <w:sz w:val="32"/>
        </w:rPr>
        <w:t>: ผลลัพธ์จาก L1 เท่านั้น ไม่มีการ validate ของ L2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4.9 ผลเปรียบเทียบ L1+L2 กับ L1-only (n=95 เคส)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เงื่อนไข (Condition)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P@5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**L1+L2 detection**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**0.1221**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**0.2485**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**0.2467**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**0.2801**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L1-only detection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0.1221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0.2432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0.2396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0.2731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ผลต่าง ($\Delta$)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+0.0053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+0.0071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+0.0070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Manipulation Check: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L2 switch ทำงานถูกต้อง — จำนวน detected problems ต่างกันใน </w:t>
      </w:r>
      <w:r>
        <w:rPr>
          <w:rFonts w:ascii="TH Sarabun PSK" w:hAnsi="TH Sarabun PSK"/>
          <w:b/>
          <w:color w:val="000000"/>
          <w:sz w:val="32"/>
        </w:rPr>
        <w:t>7/95 เคส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(7.4%) โดย L2 กรองหรือเพิ่มประมาณ 1 problem ต่อเคสที่เปลี่ยน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การทดสอบนัยสำคัญ: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Paired Two-Sided Wilcoxon: $p = 0.317$ (ไม่มีนัยสำคัญ), Cohen's $d = 0.103$ (negligible effect), 95% CI ของ $\Delta$ nDCG@5: $(−0.005, +0.016)$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ใน 7 เคสที่มีการเปลี่ยนแปลง detected problems พบว่า 6 เคสให้ nDCG@5 เท่ากันทั้งสองเงื่อนไข และ 1 เคส (NEG_LM_POS_V2) ที่ L1+L2 ดีกว่าอย่างชัดเจน (+0.50 nDCG@5) เนื่องจาก L2 เพิ่ม problem ที่เกี่ยวข้องซึ่ง L1 ตรวจจับพลาด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ข้อสรุป: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ผลนี้เป็น null result ที่ป้องกันได้ — L2 validation ทำงานตามที่ออกแบบโดยปรับ precision ของ detection ให้ดีขึ้น แต่ผลกระทบดาวน์สตรีมต่อ retrieval ranking ไม่มีนัยสำคัญทางสถิติบนชุดทดสอบนี้ ซึ่งบ่งชี้ว่า H2L scoring layer มีความทนทานต่อ marginal change ใน problem list (\textpm 1 problem ต่อเคส) ประโยชน์หลักของ L2 จึงอยู่ที่การลด False Positive ในชั้น detection มากกว่าการยกระดับ ranking quality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การทดสอบความทนทานบนชุดกรณีศึกษาท้าทายจำนวน </w:t>
      </w:r>
      <w:r>
        <w:rPr>
          <w:rFonts w:ascii="TH Sarabun PSK" w:hAnsi="TH Sarabun PSK"/>
          <w:b/>
          <w:color w:val="000000"/>
          <w:sz w:val="32"/>
        </w:rPr>
        <w:t>20 กรณีศึกษา (Adversarial Test Slice)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ซึ่งมีคำปฏิเสธ คีย์เวิร์ดลวง และประโยคซับซ้อน ปรากฏผลการทดลองดังตารางที่ 4.7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4.7 ผลการทดสอบความทนทานบน Adversarial Stress-Test Slice (n=20 เคส, qwen2.5:7b)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กลยุทธ์ (Strategy)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P@5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`naive_rag`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0.0556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0.0651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0.0631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0.0631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0.0571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0.0667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**`h2l-hybrid`**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**0.0574**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**0.0500**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**0.0500**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**0.0500**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4.7ข ผลการตรวจจับปัญหาบน Adversarial Slice (Detector metrics, 3 models × 3 repeats = 180 runs)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ตัวชี้วัด</w:t>
            </w:r>
          </w:p>
        </w:tc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ค่า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Target recall (เคสที่ตรวจจับ target code ได้ครบ)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**85.71%** (162/189 โอกาส)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Complete target cases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**85.00%** (153/180)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False-trigger suppression (ระงับ false code ได้)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**15.00%** (27/180)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Joint pass (ผ่านทั้งสองเกณฑ์พร้อมกัน)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**10.00%** (18/180 = 2 เคส × 9 runs)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อภิปรายผล: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บนชุดกรณีศึกษาท้าทาย ระบบ H2L ทำ target recall ได้สูง (85.7%) แต่ false-trigger suppression เพียง 15% ส่งผลให้ joint pass rate อยู่ที่ 10% เท่านั้น (ADV_004, ADV_010 ผ่านครบทั้งสองเกณฑ์) ในด้านการค้นคืน กลยุทธ์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มี nDCG@5 เท่ากับ naive_rag (0.0500) และต่ำกว่า bm25_only (0.0631) แสดงว่ากลไก H2L scoring ในชุดที่มีคำปฏิเสธและ keyword ลวงยังมีข้อจำกัด ผลนี้ชี้ให้เห็น failure mode ที่ชัดเจน: ระบบตรวจจับ target problem ได้ดี แต่ยังระงับ false trigger ได้ไม่เพียงพอ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แสดงการกระจายตัวของ target recall และ false-trigger suppression รายเคส เปิดเผย failure pattern ที่ตัวเลขรวมไม่สามารถแสดงได้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![รูปที่ 4.C Adversarial Recall vs Suppression](../output/figures_ch4/fig_4c_adversarial.png)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4.7 การจำแนกประสิทธิภาพตามระดับความซับซ้อนของกรณีศึกษา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4.8 ผล nDCG@10 จำแนกตามระดับความซับซ้อนของเคส (qwen2.5:7b, เฉลี่ย 3 repeats)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กลยุทธ์ (Strategy)</w:t>
            </w:r>
          </w:p>
        </w:tc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เคสทั่วไป (Simple, n=35)</w:t>
            </w:r>
          </w:p>
        </w:tc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เคสซับซ้อนปานกลาง (Moderate, n=42)</w:t>
            </w:r>
          </w:p>
        </w:tc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เคสซับซ้อนสูง (Complex, n=18)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0.2825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0.1880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0.2900</w:t>
            </w:r>
          </w:p>
        </w:tc>
      </w:tr>
      <w:tr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0.2885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0.2265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0.2645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🥇 **`h2l-hybrid`**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**0.2872**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**0.2501**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**0.3009**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ข้อค้นพบ: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H2L แสดงข้อได้เปรียบชัดเจนในเคสซับซ้อนสูง (Complex, nDCG@10 = </w:t>
      </w:r>
      <w:r>
        <w:rPr>
          <w:rFonts w:ascii="TH Sarabun PSK" w:hAnsi="TH Sarabun PSK"/>
          <w:b/>
          <w:color w:val="000000"/>
          <w:sz w:val="32"/>
        </w:rPr>
        <w:t>0.3009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เทียบ Basic 0.2645 สูงกว่า +13.7%) และเคสซับซ้อนปานกลาง (Moderate, </w:t>
      </w:r>
      <w:r>
        <w:rPr>
          <w:rFonts w:ascii="TH Sarabun PSK" w:hAnsi="TH Sarabun PSK"/>
          <w:b/>
          <w:color w:val="000000"/>
          <w:sz w:val="32"/>
        </w:rPr>
        <w:t>0.2501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เทียบ Basic 0.2265 สูงกว่า +10.4%) ในขณะที่เคสทั่วไป H2L (0.2872) ให้ผลใกล้เคียง basic (0.2885) โดยไม่แตกต่างอย่างมีนัยสำคัญ ผลนี้สอดคล้องกับสมมุติฐานว่ากลไก H2L เพิ่มคุณค่าเมื่อเคสมีความซับซ้อนและต้องการการแยกแยะหมวดหมู่ปัญหาที่ซ้อนทับกัน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4.8 กรณีศึกษาเชิงคุณภาพและการวิเคราะห์ข้อผิดพลาด (Qualitative Case Studies)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จากการวิเคราะห์ข้อผิดพลาดเชิงลึกในกรณีศึกษาที่ไม่บรรลุผลสูงสุด พบสาเหตุหลัก 2 ประการ: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คีย์เวิร์ดอาการทางกายบดบังปัญหาสังคม (Medical Symptom Dominance):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ในเคสที่มีข้อความเกี่ยวกับโรคทางกายยาว (เช่น </w:t>
      </w:r>
      <w:r>
        <w:rPr>
          <w:rFonts w:ascii="Courier New" w:hAnsi="Courier New"/>
          <w:color w:val="B42828"/>
          <w:sz w:val="30"/>
        </w:rPr>
        <w:t>CHILD_004_PAR_01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เวกเตอร์ความหมายมักถูกดึงไปทางโรคทางเดินอาหาร แต่ H2L Polarity &amp; Detection ช่วยสกัดรหัส </w:t>
      </w:r>
      <w:r>
        <w:rPr>
          <w:rFonts w:ascii="Courier New" w:hAnsi="Courier New"/>
          <w:color w:val="B42828"/>
          <w:sz w:val="30"/>
        </w:rPr>
        <w:t>T74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(ทารุณกรรม) แก้ไขปัญหานี้ได้สำเร็จ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คำปฏิเสธซับซ้อนข้ามประโยค (Cross-Sentence Negation):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ในเคสข้อความยาวที่มีประโยคแทรกกลางเกิน 30 ตัวอักษร Contextual Polarity Gate อาจหลุดการหลบหลีก ซึ่งแก้ปัญหาได้โดยการใช้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Cross-Encoder Reranker ช่วยกรองในขั้นตอนสุดท้าย</w:t>
      </w:r>
    </w:p>
    <w:sectPr w:rsidR="00FC693F" w:rsidRPr="0006063C" w:rsidSect="00034616">
      <w:pgSz w:w="12240" w:h="15840"/>
      <w:pgMar w:top="1440" w:right="1440" w:bottom="1440" w:left="2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