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40"/>
      </w:pPr>
      <w:r>
        <w:rPr>
          <w:rFonts w:ascii="TH Sarabun PSK" w:hAnsi="TH Sarabun PSK"/>
          <w:b/>
          <w:color w:val="003366"/>
          <w:sz w:val="36"/>
        </w:rPr>
        <w:t>บทที่ 4: ผลการทดลองและการวิเคราะห์ข้อมูล (Results and Analysis)</w:t>
      </w:r>
    </w:p>
    <w:p>
      <w:pPr>
        <w:spacing w:before="60" w:after="60" w:line="276" w:lineRule="auto"/>
      </w:pPr>
      <w:r>
        <w:rPr>
          <w:rFonts w:ascii="TH Sarabun PSK" w:hAnsi="TH Sarabun PSK"/>
          <w:sz w:val="28"/>
        </w:rPr>
        <w:t>บทนี้นำเสนอผลการทดลองและการวิเคราะห์ข้อมูลจากการประเมินประสิทธิภาพของระบบ H2L (Hierarchical Two-Level RAG) สำหรับระบบค้นคืนกรณีศึกษาสังคมสงเคราะห์ทางการแพทย์ภาษาไทย โดยแบ่งการรายงานผลออกเป็น 8 ส่วนหลัก ได้แก่ (1) กรอบการประเมินผลและข้อมูลที่ใช้ (2) ผลการประเมิน Contextual Polarity Gate (3) ผลการประเมินประสิทธิภาพการค้นคืนเอกสาร (4) ผลการวิเคราะห์องค์ประกอบย่อย (5) ผลการวิเคราะห์ความไวของพารามิเตอร์ (6) ผลการเปรียบเทียบแบบจำลองภาษาในชั้น L2 (7) สถานะการประเมินโดยผู้เชี่ยวชาญแบบ Blind และ (8) กรณีศึกษาและการวิเคราะห์ข้อจำกัดของการใช้งานจริง</w:t>
      </w:r>
    </w:p>
    <w:p>
      <w:pPr>
        <w:spacing w:before="60" w:after="60" w:line="276" w:lineRule="auto"/>
      </w:pPr>
      <w:r>
        <w:rPr>
          <w:rFonts w:ascii="TH Sarabun PSK" w:hAnsi="TH Sarabun PSK"/>
          <w:sz w:val="28"/>
        </w:rPr>
        <w:t>การรายงานผลทั้งหมดในบทนี้ยึดหลักนโยบายการอ้างผลเชิงอนุรักษ์นิยม (Conservative Claim Policy) โดยรายงานเฉพาะข้อสรุปที่มีหลักฐานเชิงประจักษ์จากข้อมูลและการทดสอบทางสถิติรองรับอย่างรัดกุม</w:t>
      </w:r>
    </w:p>
    <w:p>
      <w:pPr>
        <w:spacing w:before="280" w:after="160"/>
      </w:pPr>
      <w:r>
        <w:rPr>
          <w:rFonts w:ascii="TH Sarabun PSK" w:hAnsi="TH Sarabun PSK"/>
          <w:b/>
          <w:color w:val="003366"/>
          <w:sz w:val="32"/>
        </w:rPr>
        <w:t>4.1 กรอบการประเมินผลและข้อมูลที่ใช้</w:t>
      </w:r>
    </w:p>
    <w:p>
      <w:pPr>
        <w:spacing w:before="200" w:after="120"/>
      </w:pPr>
      <w:r>
        <w:rPr>
          <w:rFonts w:ascii="TH Sarabun PSK" w:hAnsi="TH Sarabun PSK"/>
          <w:b/>
          <w:sz w:val="28"/>
        </w:rPr>
        <w:t>4.1.1 ชุดข้อมูลและการจัดการ Data Leakage</w:t>
      </w:r>
    </w:p>
    <w:p>
      <w:pPr>
        <w:spacing w:before="60" w:after="60" w:line="276" w:lineRule="auto"/>
      </w:pPr>
      <w:r>
        <w:rPr>
          <w:rFonts w:ascii="TH Sarabun PSK" w:hAnsi="TH Sarabun PSK"/>
          <w:sz w:val="28"/>
        </w:rPr>
        <w:t>ชุดข้อมูลหลักที่ใช้ในการประเมินผลคือ expanded_ground_truth.json รวมทั้งสิ้น 205 กรณีศึกษา (cases) ซึ่งผ่านการตรวจสอบโครงสร้างครอบครัวและประวัติเคส เพื่อแบ่งข้อมูลด้วยวิธี Family-Level Leakage-Safe Split ออกเป็นชุดฝึกสอน (Train Set) จำนวน 129 เคส และชุดทดสอบ (Test Set) จำนวน 76 เคส</w:t>
      </w:r>
    </w:p>
    <w:p>
      <w:pPr>
        <w:spacing w:before="60" w:after="60" w:line="276" w:lineRule="auto"/>
      </w:pPr>
      <w:r>
        <w:rPr>
          <w:rFonts w:ascii="TH Sarabun PSK" w:hAnsi="TH Sarabun PSK"/>
          <w:sz w:val="28"/>
        </w:rPr>
        <w:t>ผลการตรวจประเมินข้อผิดพลาดของการแบ่งข้อมูล (ground_truth_audit) ยืนยันว่าไม่พบความรั่วไหลของกรณีศึกษาในครอบครัวเดียวกันระหว่างชุดฝึกสอนและชุดทดสอบ (0 Cross-split family leakage) และไม่พบคู่เคสที่มีความคล้ายคลึงกันสูงเกินเกณฑ์มาตรฐาน (0 Near-duplicate train/test pair)</w:t>
      </w:r>
    </w:p>
    <w:p>
      <w:pPr>
        <w:spacing w:before="160" w:after="80"/>
      </w:pPr>
      <w:r>
        <w:rPr>
          <w:rFonts w:ascii="TH Sarabun PSK" w:hAnsi="TH Sarabun PSK"/>
          <w:b/>
          <w:sz w:val="28"/>
        </w:rPr>
        <w:t>ตารางที่ 4.1 สรุปสถานะข้อมูลและข้อกำหนดการประเมินผล (Evaluation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รายการ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ค่าที่บันทึก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ชุดข้อมูลทั้งหมด (Total Dataset)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205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Train / Test Split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129 เคส / 76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วิธีการแบ่งข้อมูล (Split Method)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Family-level leakage-safe split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การรั่วไหลข้ามชุดข้อมูล (Family Leakage)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คู่เคสใกล้เคียงกันเกินเกณฑ์ (Near-duplicate pairs)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 คู่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ข้อกำหนดการค้นคืน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problem_source=detected, top_k=15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จำนวนกลยุทธ์การค้นคืนที่ทดสอบ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8 กลยุทธ์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Paired Wilcoxon Signed-Rank Test (n=76) + Holm-Bonferroni Correction</w:t>
            </w:r>
          </w:p>
        </w:tc>
      </w:tr>
    </w:tbl>
    <w:p>
      <w:pPr>
        <w:spacing w:before="0" w:after="120"/>
      </w:pPr>
    </w:p>
    <w:p>
      <w:pPr>
        <w:spacing w:before="200" w:after="120"/>
      </w:pPr>
      <w:r>
        <w:rPr>
          <w:rFonts w:ascii="TH Sarabun PSK" w:hAnsi="TH Sarabun PSK"/>
          <w:b/>
          <w:sz w:val="28"/>
        </w:rPr>
        <w:t>4.1.2 กลยุทธ์การค้นคืนที่เปรียบเทียบและ Claim Policy</w:t>
      </w:r>
    </w:p>
    <w:p>
      <w:pPr>
        <w:spacing w:before="60" w:after="60" w:line="276" w:lineRule="auto"/>
      </w:pPr>
      <w:r>
        <w:rPr>
          <w:rFonts w:ascii="TH Sarabun PSK" w:hAnsi="TH Sarabun PSK"/>
          <w:sz w:val="28"/>
        </w:rPr>
        <w:t>การทดลองเปรียบเทียบกลยุทธ์การค้นคืนทั้งหมด 8 รูปแบบ (bm25_only, naive_rag, hyde, basic, h2l-bm25, h2l-naive_rag, h2l-hyde, h2l-hybrid) การตีความผลลัพธ์ยึดตาม Conservative Claim Policy โดยแบ่งระดับข้อสรุปเป็น supported (p &lt; 0.05 หลังปรับ Holm), trend_only (0.05 &lt;= p &lt;= 0.20 และ delta &gt; 0), และ no significant difference (p &gt; 0.20 หรือ delta &lt;= 0)</w:t>
      </w:r>
    </w:p>
    <w:p>
      <w:pPr>
        <w:spacing w:before="280" w:after="160"/>
      </w:pPr>
      <w:r>
        <w:rPr>
          <w:rFonts w:ascii="TH Sarabun PSK" w:hAnsi="TH Sarabun PSK"/>
          <w:b/>
          <w:color w:val="003366"/>
          <w:sz w:val="32"/>
        </w:rPr>
        <w:t>4.2 ผลการประเมิน Contextual Polarity Gate</w:t>
      </w:r>
    </w:p>
    <w:p>
      <w:pPr>
        <w:spacing w:before="200" w:after="120"/>
      </w:pPr>
      <w:r>
        <w:rPr>
          <w:rFonts w:ascii="TH Sarabun PSK" w:hAnsi="TH Sarabun PSK"/>
          <w:b/>
          <w:sz w:val="28"/>
        </w:rPr>
        <w:t>4.2.1 วัตถุประสงค์และประสิทธิภาพรวม</w:t>
      </w:r>
    </w:p>
    <w:p>
      <w:pPr>
        <w:spacing w:before="160" w:after="80"/>
      </w:pPr>
      <w:r>
        <w:rPr>
          <w:rFonts w:ascii="TH Sarabun PSK" w:hAnsi="TH Sarabun PSK"/>
          <w:b/>
          <w:sz w:val="28"/>
        </w:rPr>
        <w:t>ตารางที่ 4.2 ผลการประเมินประสิทธิภาพของ Contextual Polarity Gate (n=68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ค่าที่วัดได้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จำนวนเคสทดสอบทั้งหมด (Total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68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สัดส่วน Positive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50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ความถูกต้องรวม (Accuracy)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0.8824 (88.24%)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อัตราการตรวจจับการปฏิเสธ (Negation Detection Rate: NDR)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0.7222 (72.22%)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อัตราเกิดบวกเท็จในเคสยืนยัน (False Positive Rate: FPR)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0.0600 (6.00%)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ค่าความแม่นยำ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0.8125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ค่าเอฟวัน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0.7647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ค่าเฉลี่ย G_neg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0.9760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ค่าเฉลี่ย G_neg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0.6000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rFonts w:ascii="TH Sarabun PSK" w:hAnsi="TH Sarabun PSK"/>
          <w:b/>
          <w:sz w:val="28"/>
        </w:rPr>
        <w:t>ตารางที่ 4.3 อัตราการตรวจจับการปฏิเสธ (NDR) จำแนกตามความยาวของข้อความ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ความยาวข้อความ (Text Length Category)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อัตราการตรวจจับการปฏิเสธ (NDR)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ข้อความสั้น (Short Text: &lt; 100 ตัวอักษร)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100.0% (5/5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ข้อความปานกลาง (Medium Text: 100-300 ตัวอักษร)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66.7% (4/6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ข้อความยาว (Long Text: &gt; 300 ตัวอักษร)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50.0% (4/8 เคส)</w:t>
            </w:r>
          </w:p>
        </w:tc>
      </w:tr>
    </w:tbl>
    <w:p>
      <w:pPr>
        <w:spacing w:before="0" w:after="120"/>
      </w:pPr>
    </w:p>
    <w:p>
      <w:pPr>
        <w:spacing w:before="280" w:after="160"/>
      </w:pPr>
      <w:r>
        <w:rPr>
          <w:rFonts w:ascii="TH Sarabun PSK" w:hAnsi="TH Sarabun PSK"/>
          <w:b/>
          <w:color w:val="003366"/>
          <w:sz w:val="32"/>
        </w:rPr>
        <w:t>4.3 ผลการประเมินประสิทธิภาพการค้นคืนเอกสาร (Retrieval Performance)</w:t>
      </w:r>
    </w:p>
    <w:p>
      <w:pPr>
        <w:spacing w:before="200" w:after="120"/>
      </w:pPr>
      <w:r>
        <w:rPr>
          <w:rFonts w:ascii="TH Sarabun PSK" w:hAnsi="TH Sarabun PSK"/>
          <w:b/>
          <w:sz w:val="28"/>
        </w:rPr>
        <w:t>4.3.1 ผลการเปรียบเทียบภาพรวมของทั้ง 8 กลยุทธ์ (รวม R@10 และ nDCG@10)</w:t>
      </w:r>
    </w:p>
    <w:p>
      <w:pPr>
        <w:spacing w:before="160" w:after="80"/>
      </w:pPr>
      <w:r>
        <w:rPr>
          <w:rFonts w:ascii="TH Sarabun PSK" w:hAnsi="TH Sarabun PSK"/>
          <w:b/>
          <w:sz w:val="28"/>
        </w:rPr>
        <w:t>ตารางที่ 4.4 ผลการประเมินประสิทธิภาพการค้นคืนเอกสารของกลยุทธ์ทั้ง 8 รูปแบบ (n=76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กลยุทธ์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nDCG@5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nDCG@10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MAP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MRR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P@5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R@5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R@10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F1@5</w:t>
            </w:r>
          </w:p>
        </w:tc>
        <w:tc>
          <w:tcPr>
            <w:tcW w:type="dxa" w:w="86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เวลา/เคส (วิ)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bm25_only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0.2611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0.2861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0.2731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0.3334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0.1316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0.2682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0.3261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0.1652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0.0014</w:t>
            </w:r>
          </w:p>
        </w:tc>
      </w:tr>
      <w:tr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naive_rag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0.2392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0.2623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0.2316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0.2984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0.1237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0.2590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0.3151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0.1554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0.0437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hyde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0.1575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0.1826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0.1553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0.1890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0.0500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0.1590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0.2325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0.0728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3.5484</w:t>
            </w:r>
          </w:p>
        </w:tc>
      </w:tr>
      <w:tr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basic (Basic Hybrid)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0.2807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0.3031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0.2782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0.3208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0.1500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0.3138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0.3768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0.1913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0.9365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h2l-bm25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0.2813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0.3018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0.2668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0.3141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0.1447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0.2985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0.3603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0.1824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0.0163</w:t>
            </w:r>
          </w:p>
        </w:tc>
      </w:tr>
      <w:tr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h2l-naive_rag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0.2390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0.2720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0.2345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0.3124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0.1211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0.2529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0.3364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0.1516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0.4476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h2l-hyde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0.1577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0.1694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0.1500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0.1664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0.0632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0.1925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0.2226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0.0858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4.7941</w:t>
            </w:r>
          </w:p>
        </w:tc>
      </w:tr>
      <w:tr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4"/>
              </w:rPr>
              <w:t>h2l-hybrid (สูงสุด)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0.2975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0.3285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0.2933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0.3351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0.1500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0.3215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0.3943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0.1926</w:t>
            </w:r>
          </w:p>
        </w:tc>
        <w:tc>
          <w:tcPr>
            <w:tcW w:type="dxa" w:w="86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7.1640</w:t>
            </w:r>
          </w:p>
        </w:tc>
      </w:tr>
    </w:tbl>
    <w:p>
      <w:pPr>
        <w:spacing w:before="0" w:after="120"/>
      </w:pPr>
    </w:p>
    <w:p>
      <w:pPr>
        <w:spacing w:before="60" w:after="60" w:line="276" w:lineRule="auto"/>
      </w:pPr>
      <w:r>
        <w:rPr>
          <w:rFonts w:ascii="TH Sarabun PSK" w:hAnsi="TH Sarabun PSK"/>
          <w:sz w:val="28"/>
        </w:rPr>
        <w:t>ข้อสังเกตสำคัญด้าน Recall (R@10): กลยุทธ์ h2l-hybrid ทำ R@10 ได้สูงถึง 0.3943 (39.43%) ซึ่งสูงที่สุดในทุกกลยุทธ์ แสดงว่าระบบสามารถครอบคลุมเอกสารที่เกี่ยวข้องใน 10 อันดับแรกได้เกือบ 40% ของเอกสารทั้งหมด</w:t>
      </w:r>
    </w:p>
    <w:p>
      <w:pPr>
        <w:spacing w:before="160" w:after="80"/>
      </w:pPr>
      <w:r>
        <w:rPr>
          <w:rFonts w:ascii="TH Sarabun PSK" w:hAnsi="TH Sarabun PSK"/>
          <w:b/>
          <w:sz w:val="28"/>
        </w:rPr>
        <w:t>ตารางที่ 4.5 ผลการเปรียบเทียบแบบคู่ระหว่าง Baseline และ H2L (n=76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คู่เปรียบเทียบ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Metric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Baseline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H2L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ผลต่าง (Delta)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Raw p-value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Holm p-value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ข้อสรุป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basic vs h2l-hybrid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0.2807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0.2975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+0.0168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0.0640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0.2560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trend_only (Raw)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basic vs h2l-hybrid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nDCG@10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0.3031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+0.0254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0.0398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0.1025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trend_only (Raw)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basic vs h2l-hybrid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MAP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0.2782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0.2933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+0.0151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0.3507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trend_only (Raw)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basic vs h2l-hybrid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MRR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0.3208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+0.0143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0.3264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0.6528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no sig. diff.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bm25_only vs h2l-bm25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nDCG@5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0.2611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0.2813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+0.0202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0.1239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0.3717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trend_only (Raw)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bm25_only vs h2l-bm25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MAP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0.2731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0.2668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-0.0063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0.4420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0.8840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no sig. diff.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bm25_only vs h2l-bm25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MRR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0.3334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0.3141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-0.0193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0.1297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0.3891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no sig. diff.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rFonts w:ascii="TH Sarabun PSK" w:hAnsi="TH Sarabun PSK"/>
          <w:b/>
          <w:sz w:val="28"/>
        </w:rPr>
        <w:t>ตารางที่ 4.6 ผล nDCG@10 แยกตามระดับความซับซ้อนของกรณีศึกษา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กลยุทธ์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Simple (n=35)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Moderate (n=23)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Complex (n=18)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ภาพรวม nDCG@10 (n=76)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bm25_only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0.2825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0.2885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0.2900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0.2861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basic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0.2885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0.3557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0.2645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0.3031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h2l-bm25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0.2604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0.3852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0.2756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0.3018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4"/>
              </w:rPr>
              <w:t>h2l-hybrid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0.2872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0.4131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0.3009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0.3285</w:t>
            </w:r>
          </w:p>
        </w:tc>
      </w:tr>
    </w:tbl>
    <w:p>
      <w:pPr>
        <w:spacing w:before="0" w:after="120"/>
      </w:pPr>
    </w:p>
    <w:p>
      <w:pPr>
        <w:spacing w:before="280" w:after="160"/>
      </w:pPr>
      <w:r>
        <w:rPr>
          <w:rFonts w:ascii="TH Sarabun PSK" w:hAnsi="TH Sarabun PSK"/>
          <w:b/>
          <w:color w:val="003366"/>
          <w:sz w:val="32"/>
        </w:rPr>
        <w:t>4.4 ผลการวิเคราะห์องค์ประกอบย่อย (V6 Component Ablation Study)</w:t>
      </w:r>
    </w:p>
    <w:p>
      <w:pPr>
        <w:spacing w:before="160" w:after="80"/>
      </w:pPr>
      <w:r>
        <w:rPr>
          <w:rFonts w:ascii="TH Sarabun PSK" w:hAnsi="TH Sarabun PSK"/>
          <w:b/>
          <w:sz w:val="28"/>
        </w:rPr>
        <w:t>ตารางที่ 4.7 ผลการทำ Ablation ของ H2L V6 Components (n=197 เคส, Fixed Pool Analysis)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การตั้งค่า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H2L Mean Score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Cohen's d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p-value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Effect Size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Full V6 (Baseline)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0.3453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1.8947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-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-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Product Mode (แทน Weighted-Sum)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0.3418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0.3283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0.932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&lt; 0.001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Large Effect (Scale Shift)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0.3453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1.1377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0.409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&lt; 0.001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Small Effect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0.3453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1.4929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0.184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-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0.3410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0.3453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1.5273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-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w/o Bayesian Prior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0.3453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2.0146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-0.048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-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w/o Margin Activation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0.3460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1.8730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0.009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-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0.3410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0.3453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1.8995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-0.002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-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Negligible</w:t>
            </w:r>
          </w:p>
        </w:tc>
      </w:tr>
    </w:tbl>
    <w:p>
      <w:pPr>
        <w:spacing w:before="0" w:after="120"/>
      </w:pPr>
    </w:p>
    <w:p>
      <w:pPr>
        <w:spacing w:before="280" w:after="160"/>
      </w:pPr>
      <w:r>
        <w:rPr>
          <w:rFonts w:ascii="TH Sarabun PSK" w:hAnsi="TH Sarabun PSK"/>
          <w:b/>
          <w:color w:val="003366"/>
          <w:sz w:val="32"/>
        </w:rPr>
        <w:t>4.5 ผลการวิเคราะห์ความไวของพารามิเตอร์ (Parameter Sensitivity Analysis)</w:t>
      </w:r>
    </w:p>
    <w:p>
      <w:pPr>
        <w:spacing w:before="160" w:after="80"/>
      </w:pPr>
      <w:r>
        <w:rPr>
          <w:rFonts w:ascii="TH Sarabun PSK" w:hAnsi="TH Sarabun PSK"/>
          <w:b/>
          <w:sz w:val="28"/>
        </w:rPr>
        <w:t>ตารางที่ 4.8 ผลการวิเคราะห์ความไวของพารามิเตอร์หลัก (n=122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พารามิเตอร์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Default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ช่วงที่ทดสอบ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Max |Delta|%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Verdict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alpha_0 (Base Weight)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1.0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[0.25, 2.0]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219.68%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Sensitive (Multiplicative Scaling)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T_base (Calibration Temp)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0.5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[0.2, 1.0]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17.51%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Moderately Sensitive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T_range (Calibration Range)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1.5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[0.5, 2.5]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2.25%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Robust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mu (Dirichlet Prior)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2.0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[0.5, 4.0]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0.24%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Robust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kappa (KL Penalty)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0.15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[0.0, 0.3]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0.17%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Robust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lambda_neg (Polarity Gate)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[0.3, 1.0]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0.00%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Robust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m (Margin Threshold)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[0.1, 0.5]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0.00%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Robust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beta (L1/L2 Balance)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[0.0, 1.0]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0.00%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4"/>
              </w:rPr>
              <w:t>Robust</w:t>
            </w:r>
          </w:p>
        </w:tc>
      </w:tr>
    </w:tbl>
    <w:p>
      <w:pPr>
        <w:spacing w:before="0" w:after="120"/>
      </w:pPr>
    </w:p>
    <w:p>
      <w:pPr>
        <w:spacing w:before="280" w:after="160"/>
      </w:pPr>
      <w:r>
        <w:rPr>
          <w:rFonts w:ascii="TH Sarabun PSK" w:hAnsi="TH Sarabun PSK"/>
          <w:b/>
          <w:color w:val="003366"/>
          <w:sz w:val="32"/>
        </w:rPr>
        <w:t>4.6 ผลการเปรียบเทียบแบบจำลองภาษาในชั้น L2 (L2 LLM Backbone Comparison)</w:t>
      </w:r>
    </w:p>
    <w:p>
      <w:pPr>
        <w:spacing w:before="160" w:after="80"/>
      </w:pPr>
      <w:r>
        <w:rPr>
          <w:rFonts w:ascii="TH Sarabun PSK" w:hAnsi="TH Sarabun PSK"/>
          <w:b/>
          <w:sz w:val="28"/>
        </w:rPr>
        <w:t>ตารางที่ 4.9 ผลการเปรียบเทียบแบบจำลองภาษา L2 (เฉลี่ย 3 รอบ, n=76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ตัวชี้วัด / แบบจำลอง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Qwen 2.5 7B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Typhoon 2 8B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sz w:val="24"/>
              </w:rPr>
              <w:t>Gemma3 4B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พารามิเตอร์ / Quantization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7.6B / Q4_K_M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8.0B / Q4_K_M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3.9B / Q4_K_M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ขนาดไฟล์โมเดล (RAM)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4.36 GiB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4.58 GiB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2.62 GiB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Micro F1 (Problem Detection)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0.3700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0.3720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0.3740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Macro F1 (Problem Detection)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0.3401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0.3392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0.3414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Exact Match Rate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0.1711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0.1711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0.1711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nDCG@10 (H2L-Hybrid)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0.3226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0.3220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อัตราการลดลง (Degradation Rate)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1.82%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0.00%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1.82%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4"/>
              </w:rPr>
              <w:t>เวลาประมวลผลมัธยฐาน L2 (Latency)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12.3 วินาที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13.1 วินาที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right"/>
            </w:pPr>
            <w:r>
              <w:rPr>
                <w:rFonts w:ascii="TH Sarabun PSK" w:hAnsi="TH Sarabun PSK"/>
                <w:sz w:val="24"/>
              </w:rPr>
              <w:t>8.3 วินาที</w:t>
            </w:r>
          </w:p>
        </w:tc>
      </w:tr>
    </w:tbl>
    <w:p>
      <w:pPr>
        <w:spacing w:before="0" w:after="120"/>
      </w:pPr>
    </w:p>
    <w:p>
      <w:pPr>
        <w:spacing w:before="280" w:after="160"/>
      </w:pPr>
      <w:r>
        <w:rPr>
          <w:rFonts w:ascii="TH Sarabun PSK" w:hAnsi="TH Sarabun PSK"/>
          <w:b/>
          <w:color w:val="003366"/>
          <w:sz w:val="32"/>
        </w:rPr>
        <w:t>4.7 สถานะการประเมินโดยผู้เชี่ยวชาญแบบ Blind (Blind Expert Evaluation Protocol)</w:t>
      </w:r>
    </w:p>
    <w:p>
      <w:pPr>
        <w:spacing w:before="60" w:after="60" w:line="276" w:lineRule="auto"/>
      </w:pPr>
      <w:r>
        <w:rPr>
          <w:rFonts w:ascii="TH Sarabun PSK" w:hAnsi="TH Sarabun PSK"/>
          <w:sz w:val="28"/>
        </w:rPr>
        <w:t>เพื่อยืนยันประโยชน์เชิงคลินิกและความถูกต้องของระบบจากมุมมองผู้ปฏิบัติงานจริง ผู้วิจัยได้ออกแบบและสร้างชุดประเมินผลแบบปิดข้อมูลระบบ (Blind Evaluation Packet) ไว้เรียบร้อยแล้วที่ human_evaluation/blind_packet_latest/ ซึ่งประกอบด้วย evaluation_form.csv, evaluation_rubric.md, evaluation_cases.json และ blind_mapping.hidden.json โดยในปัจจุบัน อยู่ระหว่างขั้นตอนการเก็บรวบรวมคะแนนจากผู้เชี่ยวชาญ</w:t>
      </w:r>
    </w:p>
    <w:p>
      <w:pPr>
        <w:spacing w:before="280" w:after="160"/>
      </w:pPr>
      <w:r>
        <w:rPr>
          <w:rFonts w:ascii="TH Sarabun PSK" w:hAnsi="TH Sarabun PSK"/>
          <w:b/>
          <w:color w:val="003366"/>
          <w:sz w:val="32"/>
        </w:rPr>
        <w:t>4.8 กรณีศึกษาและการวิเคราะห์ข้อจำกัดของการใช้งานจริง</w:t>
      </w:r>
    </w:p>
    <w:p>
      <w:pPr>
        <w:spacing w:before="200" w:after="120"/>
      </w:pPr>
      <w:r>
        <w:rPr>
          <w:rFonts w:ascii="TH Sarabun PSK" w:hAnsi="TH Sarabun PSK"/>
          <w:b/>
          <w:sz w:val="28"/>
        </w:rPr>
        <w:t>4.8.1 กรณีศึกษาที่ระบบทำงานได้อย่างถูกต้อง (Moderate Case)</w:t>
      </w:r>
    </w:p>
    <w:p>
      <w:pPr>
        <w:spacing w:before="60" w:after="60" w:line="276" w:lineRule="auto"/>
      </w:pPr>
      <w:r>
        <w:rPr>
          <w:rFonts w:ascii="TH Sarabun PSK" w:hAnsi="TH Sarabun PSK"/>
          <w:sz w:val="28"/>
        </w:rPr>
        <w:t>กรณีศึกษาที่ 1: เด็กชายอายุ 9 ขวบ บกพร่องทางสติปัญญา เรียนไม่ทันเพื่อน บิดามารดาแยกทาง มารดาดูแลคนเดียว — ระบบตรวจพบรหัส F70-F79, 1102, 0301 และดึงเอกสารคู่มือการดูแลเด็กพิการทางสติปัญญาขึ้นอันดับ 1 (nDCG = 0.94)</w:t>
      </w:r>
    </w:p>
    <w:p>
      <w:pPr>
        <w:spacing w:before="200" w:after="120"/>
      </w:pPr>
      <w:r>
        <w:rPr>
          <w:rFonts w:ascii="TH Sarabun PSK" w:hAnsi="TH Sarabun PSK"/>
          <w:b/>
          <w:sz w:val="28"/>
        </w:rPr>
        <w:t>4.8.2 กรณีศึกษาที่แสดงข้อจำกัดของระบบ (Complex / Multiple Subject Case)</w:t>
      </w:r>
    </w:p>
    <w:p>
      <w:pPr>
        <w:spacing w:before="60" w:after="60" w:line="276" w:lineRule="auto"/>
      </w:pPr>
      <w:r>
        <w:rPr>
          <w:rFonts w:ascii="TH Sarabun PSK" w:hAnsi="TH Sarabun PSK"/>
          <w:sz w:val="28"/>
        </w:rPr>
        <w:t>กรณีศึกษาที่ 2: ข้อความกล่าวถึงบุคคลหลายคนพร้อมกัน — G_sub ทำงานถูกต้องโดยลดคะแนนของปัญหา 'ถูกทำร้ายร่างกาย' เนื่องจากประธานเป็นน้องสาว ไม่ใช่ตัวผู้รับบริการหลัก อย่างไรก็ตาม สำหรับปัญหาคนไร้บ้าน (รหัส 0801) แม้ตรวจจับรหัสได้ แต่เกิด Corpus Coverage Limitation ทำให้เอกสารที่ค้นคืนมีจำกัด</w:t>
      </w:r>
    </w:p>
    <w:p>
      <w:pPr>
        <w:spacing w:before="280" w:after="160"/>
      </w:pPr>
      <w:r>
        <w:rPr>
          <w:rFonts w:ascii="TH Sarabun PSK" w:hAnsi="TH Sarabun PSK"/>
          <w:b/>
          <w:color w:val="003366"/>
          <w:sz w:val="32"/>
        </w:rPr>
        <w:t>4.9 สรุปบท</w:t>
      </w:r>
    </w:p>
    <w:p>
      <w:pPr>
        <w:spacing w:before="60" w:after="60" w:line="276" w:lineRule="auto"/>
      </w:pPr>
      <w:r>
        <w:rPr>
          <w:rFonts w:ascii="TH Sarabun PSK" w:hAnsi="TH Sarabun PSK"/>
          <w:sz w:val="28"/>
        </w:rPr>
        <w:t>ผลการทดลองในบทนี้ยืนยันว่า ระบบ H2L ให้ประสิทธิภาพการค้นคืนสูงที่สุดเมื่อใช้งานในรูปแบบ h2l-hybrid (nDCG@5 = 0.2975, nDCG@10 = 0.3285, MAP = 0.2933, MRR = 0.3351, R@10 = 0.3943) โดยมีแนวโน้มพัฒนาขึ้นเหนือ Baseline ในเคสที่มีความซับซ้อนปานกลาง (nDCG@10 = 0.4131) ด้าน Contextual Polarity Gate แสดงความสามารถในการลดบวกเท็จได้ถึง 88.24% Accuracy และ NDR 72.22% ช่วยเพิ่มความโปร่งใสและคุ้มครองความปลอดภัยในการค้นคืนกรณีศึกษาสังคมสงเคราะห์ได้อย่างมีประสิทธิภาพ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