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40"/>
        <w:jc w:val="center"/>
      </w:pPr>
      <w:r>
        <w:rPr>
          <w:rFonts w:ascii="TH SarabunPSK" w:hAnsi="TH SarabunPSK" w:eastAsia="TH SarabunPSK" w:cs="TH SarabunPSK"/>
          <w:b/>
          <w:i w:val="0"/>
          <w:sz w:val="40"/>
          <w:lang w:val="th-TH" w:eastAsia="th-TH"/>
        </w:rPr>
        <w:t>บทที่ 4</w:t>
      </w:r>
    </w:p>
    <w:p>
      <w:pPr>
        <w:keepNext/>
        <w:widowControl/>
        <w:spacing w:before="0" w:after="240"/>
        <w:jc w:val="center"/>
      </w:pPr>
      <w:r>
        <w:rPr>
          <w:rFonts w:ascii="TH SarabunPSK" w:hAnsi="TH SarabunPSK" w:eastAsia="TH SarabunPSK" w:cs="TH SarabunPSK"/>
          <w:b/>
          <w:i w:val="0"/>
          <w:sz w:val="40"/>
          <w:lang w:val="th-TH" w:eastAsia="th-TH"/>
        </w:rPr>
        <w:t>ผลการวิจัย</w:t>
      </w:r>
    </w:p>
    <w:p>
      <w:pPr>
        <w:widowControl/>
        <w:spacing w:line="240" w:lineRule="auto" w:after="80"/>
        <w:ind w:firstLine="709"/>
        <w:jc w:val="both"/>
      </w:pPr>
      <w:r>
        <w:rPr>
          <w:rFonts w:ascii="TH SarabunPSK" w:hAnsi="TH SarabunPSK" w:eastAsia="TH SarabunPSK" w:cs="TH SarabunPSK"/>
          <w:b w:val="0"/>
          <w:i w:val="0"/>
          <w:sz w:val="32"/>
          <w:lang w:val="th-TH" w:eastAsia="th-TH"/>
        </w:rPr>
        <w:t>บทนี้นำเสนอผลการประเมินระบบ H2L สำหรับการตรวจจับปัญหาและค้นคืนเอกสารในบริบทสังคมสงเคราะห์ทางการแพทย์ภาษาไทย โดยรายงานผลจากไฟล์ผลการทดลองที่สมบูรณ์ล่าสุด ณ วันที่ 30 กรกฎาคม 2569 แยกเป็น 6 ส่วน ได้แก่ กรอบการประเมินและชุดข้อมูล การประเมิน Contextual Polarity Gate ประสิทธิภาพการค้นคืนเอกสาร การเปรียบเทียบแบบจำลองภาษาในชั้น L2 การทดลองตัดองค์ประกอบและวิเคราะห์ความไว และการวิเคราะห์ผลรายกรณี</w:t>
      </w:r>
    </w:p>
    <w:p>
      <w:pPr>
        <w:widowControl/>
        <w:spacing w:line="240" w:lineRule="auto" w:after="80"/>
        <w:ind w:firstLine="709"/>
        <w:jc w:val="both"/>
      </w:pPr>
      <w:r>
        <w:rPr>
          <w:rFonts w:ascii="TH SarabunPSK" w:hAnsi="TH SarabunPSK" w:eastAsia="TH SarabunPSK" w:cs="TH SarabunPSK"/>
          <w:b w:val="0"/>
          <w:i w:val="0"/>
          <w:sz w:val="32"/>
          <w:lang w:val="th-TH" w:eastAsia="th-TH"/>
        </w:rPr>
        <w:t>การตีความใช้หลักอนุรักษ์นิยม โดยแยกผลเชิงพรรณนาออกจากผลที่ผ่านการทดสอบนัยสำคัญ ไม่ใช้ผล dry-run ของการประเมินผู้เชี่ยวชาญเป็นหลักฐานเชิงประจักษ์ และไม่สรุปว่าองค์ประกอบใดมีผลเชิงสาเหตุเมื่อการทดลองตัดองค์ประกอบยังไม่สามารถแยกความแตกต่างของตัวชี้วัดการจัดอันดับได้</w:t>
      </w:r>
    </w:p>
    <w:p>
      <w:pPr>
        <w:keepNext/>
        <w:widowControl/>
        <w:spacing w:before="240" w:after="80"/>
        <w:jc w:val="left"/>
      </w:pPr>
      <w:r>
        <w:rPr>
          <w:rFonts w:ascii="TH SarabunPSK" w:hAnsi="TH SarabunPSK" w:eastAsia="TH SarabunPSK" w:cs="TH SarabunPSK"/>
          <w:b/>
          <w:i w:val="0"/>
          <w:sz w:val="36"/>
          <w:lang w:val="th-TH" w:eastAsia="th-TH"/>
        </w:rPr>
        <w:t>4.1 กรอบการประเมินและชุดข้อมูล</w:t>
      </w:r>
    </w:p>
    <w:p>
      <w:pPr>
        <w:keepNext/>
        <w:widowControl/>
        <w:spacing w:before="160" w:after="60"/>
        <w:jc w:val="left"/>
      </w:pPr>
      <w:r>
        <w:rPr>
          <w:rFonts w:ascii="TH SarabunPSK" w:hAnsi="TH SarabunPSK" w:eastAsia="TH SarabunPSK" w:cs="TH SarabunPSK"/>
          <w:b/>
          <w:i w:val="0"/>
          <w:sz w:val="32"/>
          <w:lang w:val="th-TH" w:eastAsia="th-TH"/>
        </w:rPr>
        <w:t>4.1.1 ชุดข้อมูลและการแบ่งข้อมูล</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ชุดข้อมูล </w:t>
      </w:r>
      <w:r>
        <w:rPr>
          <w:rFonts w:ascii="TH SarabunPSK" w:hAnsi="TH SarabunPSK" w:eastAsia="TH SarabunPSK" w:cs="TH SarabunPSK"/>
          <w:b w:val="0"/>
          <w:i/>
          <w:sz w:val="32"/>
          <w:lang w:val="th-TH" w:eastAsia="th-TH"/>
        </w:rPr>
        <w:t>expanded_ground_truth.json</w:t>
      </w:r>
      <w:r>
        <w:rPr>
          <w:rFonts w:ascii="TH SarabunPSK" w:hAnsi="TH SarabunPSK" w:eastAsia="TH SarabunPSK" w:cs="TH SarabunPSK"/>
          <w:b w:val="0"/>
          <w:i w:val="0"/>
          <w:sz w:val="32"/>
          <w:lang w:val="th-TH" w:eastAsia="th-TH"/>
        </w:rPr>
        <w:t xml:space="preserve"> ฉบับปัจจุบันมีทั้งหมด 220 กรณี แบ่งเป็นชุดฝึก 125 กรณีและชุดทดสอบ 95 กรณี โดยใช้ family-level stratified split และ seed เท่ากับ 42 จากนั้นกำหนด Adversarial Cases ทั้ง 20 กรณีเป็น held-out stress-test slice ในชุดทดสอบ การตรวจสอบไฟล์ 220 กรณีไม่พบครอบครัวของกรณีที่รั่วข้ามชุด และไม่พบคู่ข้อความใกล้ซ้ำข้ามชุดที่มีค่าความคล้ายคลึงตั้งแต่ 0.90 ขึ้นไป</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อย่างไรก็ตาม ผลเชิงตัวเลขทั้งหมดในบทนี้สร้างจาก evaluation snapshot ก่อนการขยาย Adversarial Cases ซึ่งมี 205 กรณี แบ่งเป็น train 129 กรณีและ test 76 กรณี ผลที่ระบุ </w:t>
      </w:r>
      <w:r>
        <w:rPr>
          <w:rFonts w:ascii="TH SarabunPSK" w:hAnsi="TH SarabunPSK" w:eastAsia="TH SarabunPSK" w:cs="TH SarabunPSK"/>
          <w:b w:val="0"/>
          <w:i/>
          <w:sz w:val="32"/>
          <w:lang w:val="th-TH" w:eastAsia="th-TH"/>
        </w:rPr>
        <w:t>n = 76</w:t>
      </w:r>
      <w:r>
        <w:rPr>
          <w:rFonts w:ascii="TH SarabunPSK" w:hAnsi="TH SarabunPSK" w:eastAsia="TH SarabunPSK" w:cs="TH SarabunPSK"/>
          <w:b w:val="0"/>
          <w:i w:val="0"/>
          <w:sz w:val="32"/>
          <w:lang w:val="th-TH" w:eastAsia="th-TH"/>
        </w:rPr>
        <w:t xml:space="preserve"> จึงยังคงเป็นผลจาก snapshot ดังกล่าว ไม่ใช่ผลบน test split ปัจจุบัน 95 กรณี และห้ามนำไปอ้างเป็นผลของ Adversarial Cases ชุดใหม่จนกว่าจะรันการประเมินซ้ำ ชุดข้อมูลปัจจุบันมีกรณีต้นฉบับ 92 กรณีและกรณีที่สร้างหรือปรับเพิ่มเติม 128 กรณี ได้แก่ paraphrase 44 กรณี complexity escalation 10 กรณี complexity reduction 10 กรณี adversarial 20 กรณี polarity 36 กรณี short evidenced 5 กรณี และ tiny 3 กรณี จึงต้องรายงานผล stress-test แยกจากข้ออ้างเกี่ยวกับข้อมูลภาคสนาม</w:t>
      </w:r>
    </w:p>
    <w:p>
      <w:pPr>
        <w:keepNext/>
        <w:spacing w:before="120" w:after="60"/>
        <w:jc w:val="center"/>
      </w:pPr>
      <w:r>
        <w:rPr>
          <w:rFonts w:ascii="TH SarabunPSK" w:hAnsi="TH SarabunPSK" w:eastAsia="TH SarabunPSK" w:cs="TH SarabunPSK"/>
          <w:b/>
          <w:i w:val="0"/>
          <w:sz w:val="32"/>
          <w:lang w:val="th-TH" w:eastAsia="th-TH"/>
        </w:rPr>
        <w:t>ตารางที่ 4.1 สรุปชุดข้อมูลและข้อกำหนดการประเมิน</w:t>
      </w:r>
    </w:p>
    <w:tbl>
      <w:tblPr>
        <w:tblStyle w:val="TableGrid"/>
        <w:tblW w:type="auto" w:w="0"/>
        <w:jc w:val="center"/>
        <w:tblLayout w:type="autofit"/>
        <w:tblLook w:firstColumn="1" w:firstRow="1" w:lastColumn="0" w:lastRow="0" w:noHBand="0" w:noVBand="1" w:val="04A0"/>
      </w:tblPr>
      <w:tblGrid>
        <w:gridCol w:w="4331"/>
        <w:gridCol w:w="4331"/>
      </w:tblGrid>
      <w:tr>
        <w:trPr>
          <w:tblHeader w:val="true"/>
          <w:cantSplit/>
        </w:trPr>
        <w:tc>
          <w:tcPr>
            <w:tcW w:type="dxa" w:w="4331"/>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รายการ</w:t>
            </w:r>
          </w:p>
        </w:tc>
        <w:tc>
          <w:tcPr>
            <w:tcW w:type="dxa" w:w="4331"/>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ค่า</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ชุดข้อมูลปัจจุบัน</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220 กรณี</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ชุดฝึก / ชุดทดสอบปัจจุบัน</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125 / 95 กรณี</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Adversarial test slice ปัจจุบัน</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20 กรณี</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Evaluation snapshot ที่ใช้สร้างผลในบทนี้</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205 กรณี</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ชุดฝึก / ชุดทดสอบของ evaluation snapshot</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129 / 76 กรณี</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วิธีแบ่งข้อมูล</w:t>
            </w:r>
          </w:p>
        </w:tc>
        <w:tc>
          <w:tcPr>
            <w:tcW w:type="dxa" w:w="4331"/>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family-level stratified split, seed = 42</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ครอบครัวกรณีที่รั่วข้ามชุด</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คู่ใกล้ซ้ำข้ามชุดที่ threshold 0.90</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กรณีต้นฉบับตามแหล่งที่มาในชุดปัจจุบัน</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92 กรณี</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กรณีที่สร้างหรือปรับเพิ่มเติมในชุดปัจจุบัน</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128 กรณี</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ข้อกำหนดการค้นคืนหลัก</w:t>
            </w:r>
          </w:p>
        </w:tc>
        <w:tc>
          <w:tcPr>
            <w:tcW w:type="dxa" w:w="4331"/>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problem_source=detected`, `top_k=15</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กลยุทธ์ที่เปรียบเทียบ</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8 กลยุทธ์</w:t>
            </w:r>
          </w:p>
        </w:tc>
      </w:tr>
    </w:tbl>
    <w:p>
      <w:pPr>
        <w:spacing w:after="40"/>
      </w:pPr>
    </w:p>
    <w:p>
      <w:pPr>
        <w:keepNext/>
        <w:widowControl/>
        <w:spacing w:before="160" w:after="60"/>
        <w:jc w:val="left"/>
      </w:pPr>
      <w:r>
        <w:rPr>
          <w:rFonts w:ascii="TH SarabunPSK" w:hAnsi="TH SarabunPSK" w:eastAsia="TH SarabunPSK" w:cs="TH SarabunPSK"/>
          <w:b/>
          <w:i w:val="0"/>
          <w:sz w:val="32"/>
          <w:lang w:val="th-TH" w:eastAsia="th-TH"/>
        </w:rPr>
        <w:t>4.1.2 แหล่งผลการทดลองและวันที่</w:t>
      </w:r>
    </w:p>
    <w:p>
      <w:pPr>
        <w:widowControl/>
        <w:spacing w:line="240" w:lineRule="auto" w:after="80"/>
        <w:ind w:firstLine="709"/>
        <w:jc w:val="both"/>
      </w:pPr>
      <w:r>
        <w:rPr>
          <w:rFonts w:ascii="TH SarabunPSK" w:hAnsi="TH SarabunPSK" w:eastAsia="TH SarabunPSK" w:cs="TH SarabunPSK"/>
          <w:b w:val="0"/>
          <w:i w:val="0"/>
          <w:sz w:val="32"/>
          <w:lang w:val="th-TH" w:eastAsia="th-TH"/>
        </w:rPr>
        <w:t>เพื่อให้ตรวจสอบย้อนกลับได้ ตารางที่ 4.1ก ระบุไฟล์ต้นทางและวันที่สร้างผลของการทดลองแต่ละชุด วันที่ในข้อความใช้พุทธศักราช ส่วนชื่อไฟล์และ timestamp เดิมใช้คริสต์ศักราชตามที่ระบบบันทึก</w:t>
      </w:r>
    </w:p>
    <w:p>
      <w:pPr>
        <w:keepNext/>
        <w:spacing w:before="120" w:after="60"/>
        <w:jc w:val="center"/>
      </w:pPr>
      <w:r>
        <w:rPr>
          <w:rFonts w:ascii="TH SarabunPSK" w:hAnsi="TH SarabunPSK" w:eastAsia="TH SarabunPSK" w:cs="TH SarabunPSK"/>
          <w:b/>
          <w:i w:val="0"/>
          <w:sz w:val="32"/>
          <w:lang w:val="th-TH" w:eastAsia="th-TH"/>
        </w:rPr>
        <w:t>ตารางที่ 4.1ก แหล่งผลการทดลองและวันที่สร้างผล</w:t>
      </w:r>
    </w:p>
    <w:tbl>
      <w:tblPr>
        <w:tblStyle w:val="TableGrid"/>
        <w:tblW w:type="auto" w:w="0"/>
        <w:jc w:val="center"/>
        <w:tblLayout w:type="autofit"/>
        <w:tblLook w:firstColumn="1" w:firstRow="1" w:lastColumn="0" w:lastRow="0" w:noHBand="0" w:noVBand="1" w:val="04A0"/>
      </w:tblPr>
      <w:tblGrid>
        <w:gridCol w:w="2888"/>
        <w:gridCol w:w="2888"/>
        <w:gridCol w:w="2888"/>
      </w:tblGrid>
      <w:tr>
        <w:trPr>
          <w:tblHeader w:val="true"/>
          <w:cantSplit/>
        </w:trPr>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ชุดข้อมูลหรือผลการทดลอง</w:t>
            </w:r>
          </w:p>
        </w:tc>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วันที่สร้างหรือปรับปรุง</w:t>
            </w:r>
          </w:p>
        </w:tc>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ไฟล์ต้นทาง</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Evaluation snapshot 205 กรณี</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22 กรกฎาคม 2569</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evaluation_results/model_comparison/l2_full_matrix_76cases_3models_3repeats_8strategies.json</w:t>
            </w:r>
          </w:p>
        </w:tc>
      </w:tr>
      <w:tr>
        <w:trPr>
          <w:cantSplit/>
        </w:trPr>
        <w:tc>
          <w:tcPr>
            <w:tcW w:type="dxa" w:w="2888"/>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ชุดข้อมูลปัจจุบัน 220 กรณี</w:t>
            </w:r>
          </w:p>
        </w:tc>
        <w:tc>
          <w:tcPr>
            <w:tcW w:type="dxa" w:w="2888"/>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30 กรกฎาคม 2569</w:t>
            </w:r>
          </w:p>
        </w:tc>
        <w:tc>
          <w:tcPr>
            <w:tcW w:type="dxa" w:w="2888"/>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sz w:val="24"/>
                <w:lang w:val="th-TH" w:eastAsia="th-TH"/>
              </w:rPr>
              <w:t>expanded_ground_truth.json</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Retrieval 76 กรณี 8 กลยุทธ์ 3 รอบ</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26 กรกฎาคม 2569 เวลา 10:14 น. ICT</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evaluation_results/model_comparison/l2_full_matrix_76cases_3models_3repeats_8strategies.json</w:t>
            </w:r>
          </w:p>
        </w:tc>
      </w:tr>
      <w:tr>
        <w:trPr>
          <w:cantSplit/>
        </w:trPr>
        <w:tc>
          <w:tcPr>
            <w:tcW w:type="dxa" w:w="2888"/>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ตัวชี้วัด retrieval ครบชุดที่ `@5` และ `@10`</w:t>
            </w:r>
          </w:p>
        </w:tc>
        <w:tc>
          <w:tcPr>
            <w:tcW w:type="dxa" w:w="2888"/>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คำนวณและตรวจสอบ 30 กรกฎาคม 2569 เวลา 10:37 น.</w:t>
            </w:r>
          </w:p>
        </w:tc>
        <w:tc>
          <w:tcPr>
            <w:tcW w:type="dxa" w:w="2888"/>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sz w:val="24"/>
                <w:lang w:val="th-TH" w:eastAsia="th-TH"/>
              </w:rPr>
              <w:t>evaluation_results/derived/retrieval_metrics_20260730_latest.json</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สถิติ Wilcoxon-Holm ของ nDCG@5 และ nDCG@10</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คำนวณ 30 กรกฎาคม 2569 เวลา 10:37 น.</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evaluation_results/derived/retrieval_significance_20260730.csv</w:t>
            </w:r>
          </w:p>
        </w:tc>
      </w:tr>
      <w:tr>
        <w:trPr>
          <w:cantSplit/>
        </w:trPr>
        <w:tc>
          <w:tcPr>
            <w:tcW w:type="dxa" w:w="2888"/>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L2 full matrix 76 กรณี 3 รอบ 3 แบบจำลอง</w:t>
            </w:r>
          </w:p>
        </w:tc>
        <w:tc>
          <w:tcPr>
            <w:tcW w:type="dxa" w:w="2888"/>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26 กรกฎาคม 2569 เวลา 10:14 น. ICT</w:t>
            </w:r>
          </w:p>
        </w:tc>
        <w:tc>
          <w:tcPr>
            <w:tcW w:type="dxa" w:w="2888"/>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sz w:val="24"/>
                <w:lang w:val="th-TH" w:eastAsia="th-TH"/>
              </w:rPr>
              <w:t>evaluation_results/model_comparison/l2_full_matrix_76cases_3models_3repeats_8strategies.json</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Contextual Polarity Gate</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30 กรกฎาคม 2569 เวลา 10:04 น.</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evaluation_results/sentence_polarity_eval_20260730_latest.json</w:t>
            </w:r>
          </w:p>
        </w:tc>
      </w:tr>
      <w:tr>
        <w:trPr>
          <w:cantSplit/>
        </w:trPr>
        <w:tc>
          <w:tcPr>
            <w:tcW w:type="dxa" w:w="2888"/>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V6 component ablation บน test split</w:t>
            </w:r>
          </w:p>
        </w:tc>
        <w:tc>
          <w:tcPr>
            <w:tcW w:type="dxa" w:w="2888"/>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30 กรกฎาคม 2569 เวลา 10:29-10:32 น.</w:t>
            </w:r>
          </w:p>
        </w:tc>
        <w:tc>
          <w:tcPr>
            <w:tcW w:type="dxa" w:w="2888"/>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sz w:val="24"/>
                <w:lang w:val="th-TH" w:eastAsia="th-TH"/>
              </w:rPr>
              <w:t>ablation_results/rq6_test_complete_metrics_fixed_20260730/rq6_results.csv</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Parameter sensitivity</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30 กรกฎาคม 2569 เวลา 10:04 น.</w:t>
            </w:r>
          </w:p>
        </w:tc>
        <w:tc>
          <w:tcPr>
            <w:tcW w:type="dxa" w:w="2888"/>
            <w:vAlign w:val="center"/>
            <w:tcMar>
              <w:top w:w="80" w:type="dxa"/>
              <w:left w:w="80" w:type="dxa"/>
              <w:bottom w:w="80" w:type="dxa"/>
              <w:right w:w="80" w:type="dxa"/>
            </w:tcMar>
          </w:tcPr>
          <w:p>
            <w:pPr>
              <w:spacing w:after="0"/>
              <w:jc w:val="center"/>
            </w:pPr>
            <w:r/>
            <w:r>
              <w:rPr>
                <w:rFonts w:ascii="TH SarabunPSK" w:hAnsi="TH SarabunPSK" w:eastAsia="TH SarabunPSK" w:cs="TH SarabunPSK"/>
                <w:b w:val="0"/>
                <w:i/>
                <w:sz w:val="24"/>
                <w:lang w:val="th-TH" w:eastAsia="th-TH"/>
              </w:rPr>
              <w:t>sensitivity_results/run_20260730/sensitivity_report.md</w:t>
            </w:r>
          </w:p>
        </w:tc>
      </w:tr>
    </w:tbl>
    <w:p>
      <w:pPr>
        <w:spacing w:after="40"/>
      </w:pPr>
    </w:p>
    <w:p>
      <w:pPr>
        <w:keepNext/>
        <w:widowControl/>
        <w:spacing w:before="160" w:after="60"/>
        <w:jc w:val="left"/>
      </w:pPr>
      <w:r>
        <w:rPr>
          <w:rFonts w:ascii="TH SarabunPSK" w:hAnsi="TH SarabunPSK" w:eastAsia="TH SarabunPSK" w:cs="TH SarabunPSK"/>
          <w:b/>
          <w:i w:val="0"/>
          <w:sz w:val="32"/>
          <w:lang w:val="th-TH" w:eastAsia="th-TH"/>
        </w:rPr>
        <w:t>4.1.3 กลยุทธ์และตัวชี้วัด</w:t>
      </w:r>
    </w:p>
    <w:p>
      <w:pPr>
        <w:widowControl/>
        <w:spacing w:line="240" w:lineRule="auto" w:after="80"/>
        <w:ind w:firstLine="709"/>
        <w:jc w:val="both"/>
      </w:pPr>
      <w:r>
        <w:rPr>
          <w:rFonts w:ascii="TH SarabunPSK" w:hAnsi="TH SarabunPSK" w:eastAsia="TH SarabunPSK" w:cs="TH SarabunPSK"/>
          <w:b w:val="0"/>
          <w:i w:val="0"/>
          <w:sz w:val="32"/>
          <w:lang w:val="th-TH" w:eastAsia="th-TH"/>
        </w:rPr>
        <w:t>การทดลองเปรียบเทียบ baseline 4 แบบ ได้แก่ BM25 only, naive RAG, HyDE และ basic hybrid กับกลยุทธ์ที่เพิ่มการตรวจจับและการให้คะแนนแบบ H2L อีก 4 แบบ ได้แก่ H2L-BM25, H2L-naive RAG, H2L-HyDE และ H2L-hybrid ตัวชี้วัดที่รายงานครบทั้งลำดับ 5 และ 10 ได้แก่ Precision, Recall, F1, DCG, IDCG และ nDCG พร้อมรายงาน MAP และ MRR การประเมินความเกี่ยวข้องของเอกสารใช้กฎจับคู่คำสำคัญที่สร้างจากรหัสปัญหาที่คาดหวัง จึงเป็นการประเมินแบบอัตโนมัติ มิใช่การตัดสินความเกี่ยวข้องโดยผู้เชี่ยวชาญ</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ตามนิยามในโค้ดการทดลอง </w:t>
      </w:r>
      <w:r>
        <w:rPr>
          <w:rFonts w:ascii="TH SarabunPSK" w:hAnsi="TH SarabunPSK" w:eastAsia="TH SarabunPSK" w:cs="TH SarabunPSK"/>
          <w:b w:val="0"/>
          <w:i/>
          <w:sz w:val="32"/>
          <w:lang w:val="th-TH" w:eastAsia="th-TH"/>
        </w:rPr>
        <w:t>IDCG@k</w:t>
      </w:r>
      <w:r>
        <w:rPr>
          <w:rFonts w:ascii="TH SarabunPSK" w:hAnsi="TH SarabunPSK" w:eastAsia="TH SarabunPSK" w:cs="TH SarabunPSK"/>
          <w:b w:val="0"/>
          <w:i w:val="0"/>
          <w:sz w:val="32"/>
          <w:lang w:val="th-TH" w:eastAsia="th-TH"/>
        </w:rPr>
        <w:t xml:space="preserve"> คำนวณจากการเรียง relevance grades ของเอกสาร 15 รายการที่แต่ละกลยุทธ์คืนมา ไม่ใช่ ideal ranking จาก relevance judgment ของเอกสารทั้งคลัง ดังนั้น IDCG อาจต่างกันระหว่างกลยุทธ์ ค่า nDCG ในบทนี้จึงสะท้อนคุณภาพการเรียงลำดับภายในชุดที่ค้นคืนได้ ขณะที่ Recall ใช้สะท้อนความครอบคลุมของเอกสารเกี่ยวข้องในชุดดังกล่าว</w:t>
      </w:r>
    </w:p>
    <w:p>
      <w:pPr>
        <w:keepNext/>
        <w:widowControl/>
        <w:spacing w:before="240" w:after="80"/>
        <w:jc w:val="left"/>
      </w:pPr>
      <w:r>
        <w:rPr>
          <w:rFonts w:ascii="TH SarabunPSK" w:hAnsi="TH SarabunPSK" w:eastAsia="TH SarabunPSK" w:cs="TH SarabunPSK"/>
          <w:b/>
          <w:i w:val="0"/>
          <w:sz w:val="36"/>
          <w:lang w:val="th-TH" w:eastAsia="th-TH"/>
        </w:rPr>
        <w:t>4.2 ผลการประเมิน Contextual Polarity Gate</w:t>
      </w:r>
    </w:p>
    <w:p>
      <w:pPr>
        <w:keepNext/>
        <w:widowControl/>
        <w:spacing w:before="160" w:after="60"/>
        <w:jc w:val="left"/>
      </w:pPr>
      <w:r>
        <w:rPr>
          <w:rFonts w:ascii="TH SarabunPSK" w:hAnsi="TH SarabunPSK" w:eastAsia="TH SarabunPSK" w:cs="TH SarabunPSK"/>
          <w:b/>
          <w:i w:val="0"/>
          <w:sz w:val="32"/>
          <w:lang w:val="th-TH" w:eastAsia="th-TH"/>
        </w:rPr>
        <w:t>4.2.1 ผลรวม</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การประเมิน polarity คำนวณใหม่เมื่อวันที่ 30 กรกฎาคม 2569 บนชุดทดสอบปัจจุบัน 76 กรณี ประกอบด้วยกรณียืนยันปัญหา 58 กรณีและกรณีปฏิเสธปัญหา 18 กรณี กลไกตรวจหน้าต่างข้อความ 30 ตัวอักษรก่อนคำสำคัญเพื่อปรับค่า </w:t>
      </w:r>
      <w:r>
        <w:rPr>
          <w:rFonts w:ascii="TH SarabunPSK" w:hAnsi="TH SarabunPSK" w:eastAsia="TH SarabunPSK" w:cs="TH SarabunPSK"/>
          <w:b w:val="0"/>
          <w:i/>
          <w:sz w:val="32"/>
          <w:lang w:val="th-TH" w:eastAsia="th-TH"/>
        </w:rPr>
        <w:t>G_neg</w:t>
      </w:r>
      <w:r>
        <w:rPr>
          <w:rFonts w:ascii="TH SarabunPSK" w:hAnsi="TH SarabunPSK" w:eastAsia="TH SarabunPSK" w:cs="TH SarabunPSK"/>
          <w:b w:val="0"/>
          <w:i w:val="0"/>
          <w:sz w:val="32"/>
          <w:lang w:val="th-TH" w:eastAsia="th-TH"/>
        </w:rPr>
        <w:t xml:space="preserve"> ผลรวมแสดงในตารางที่ 4.2</w:t>
      </w:r>
    </w:p>
    <w:p>
      <w:pPr>
        <w:keepNext/>
        <w:spacing w:before="120" w:after="60"/>
        <w:jc w:val="center"/>
      </w:pPr>
      <w:r>
        <w:rPr>
          <w:rFonts w:ascii="TH SarabunPSK" w:hAnsi="TH SarabunPSK" w:eastAsia="TH SarabunPSK" w:cs="TH SarabunPSK"/>
          <w:b/>
          <w:i w:val="0"/>
          <w:sz w:val="32"/>
          <w:lang w:val="th-TH" w:eastAsia="th-TH"/>
        </w:rPr>
        <w:t>ตารางที่ 4.2 ผลการประเมิน Contextual Polarity Gate (n = 76)</w:t>
      </w:r>
    </w:p>
    <w:tbl>
      <w:tblPr>
        <w:tblStyle w:val="TableGrid"/>
        <w:tblW w:type="auto" w:w="0"/>
        <w:jc w:val="center"/>
        <w:tblLayout w:type="autofit"/>
        <w:tblLook w:firstColumn="1" w:firstRow="1" w:lastColumn="0" w:lastRow="0" w:noHBand="0" w:noVBand="1" w:val="04A0"/>
      </w:tblPr>
      <w:tblGrid>
        <w:gridCol w:w="4331"/>
        <w:gridCol w:w="4331"/>
      </w:tblGrid>
      <w:tr>
        <w:trPr>
          <w:tblHeader w:val="true"/>
          <w:cantSplit/>
        </w:trPr>
        <w:tc>
          <w:tcPr>
            <w:tcW w:type="dxa" w:w="4331"/>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ตัวชี้วัด</w:t>
            </w:r>
          </w:p>
        </w:tc>
        <w:tc>
          <w:tcPr>
            <w:tcW w:type="dxa" w:w="4331"/>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ค่า</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Accuracy</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0.8947</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Negation Detection Rate</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0.7222</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False Positive Rate</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0.0517</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Precision</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0.8125</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F1-score</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0.7647</w:t>
            </w:r>
          </w:p>
        </w:tc>
      </w:tr>
      <w:tr>
        <w:trPr>
          <w:cantSplit/>
        </w:trPr>
        <w:tc>
          <w:tcPr>
            <w:tcW w:type="dxa" w:w="4331"/>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ค่าเฉลี่ย `G_neg` ในกรณียืนยัน</w:t>
            </w:r>
          </w:p>
        </w:tc>
        <w:tc>
          <w:tcPr>
            <w:tcW w:type="dxa" w:w="4331"/>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0.9793</w:t>
            </w:r>
          </w:p>
        </w:tc>
      </w:tr>
      <w:tr>
        <w:trPr>
          <w:cantSplit/>
        </w:trPr>
        <w:tc>
          <w:tcPr>
            <w:tcW w:type="dxa" w:w="4331"/>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ค่าเฉลี่ย `G_neg` ในกรณีปฏิเสธ</w:t>
            </w:r>
          </w:p>
        </w:tc>
        <w:tc>
          <w:tcPr>
            <w:tcW w:type="dxa" w:w="4331"/>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0.6000</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ระบบตรวจพบกรณีปฏิเสธถูกต้อง 13 จาก 18 กรณี และลดทอนกรณียืนยันผิด 3 จาก 58 กรณี ผลนี้สนับสนุนว่ากลไก polarity ช่วยลดบวกเท็จจากประโยคปฏิเสธได้บางส่วน แต่ยังไม่ครอบคลุมประโยคปฏิเสธทุกโครงสร้าง</w:t>
      </w:r>
    </w:p>
    <w:p>
      <w:pPr>
        <w:keepNext/>
        <w:widowControl/>
        <w:spacing w:before="160" w:after="60"/>
        <w:jc w:val="left"/>
      </w:pPr>
      <w:r>
        <w:rPr>
          <w:rFonts w:ascii="TH SarabunPSK" w:hAnsi="TH SarabunPSK" w:eastAsia="TH SarabunPSK" w:cs="TH SarabunPSK"/>
          <w:b/>
          <w:i w:val="0"/>
          <w:sz w:val="32"/>
          <w:lang w:val="th-TH" w:eastAsia="th-TH"/>
        </w:rPr>
        <w:t>4.2.2 ผลตามความยาวข้อความ</w:t>
      </w:r>
    </w:p>
    <w:p>
      <w:pPr>
        <w:keepNext/>
        <w:spacing w:before="120" w:after="60"/>
        <w:jc w:val="center"/>
      </w:pPr>
      <w:r>
        <w:rPr>
          <w:rFonts w:ascii="TH SarabunPSK" w:hAnsi="TH SarabunPSK" w:eastAsia="TH SarabunPSK" w:cs="TH SarabunPSK"/>
          <w:b/>
          <w:i w:val="0"/>
          <w:sz w:val="32"/>
          <w:lang w:val="th-TH" w:eastAsia="th-TH"/>
        </w:rPr>
        <w:t>ตารางที่ 4.3 อัตราการตรวจจับการปฏิเสธจำแนกตามความยาวข้อความ</w:t>
      </w:r>
    </w:p>
    <w:tbl>
      <w:tblPr>
        <w:tblStyle w:val="TableGrid"/>
        <w:tblW w:type="auto" w:w="0"/>
        <w:jc w:val="center"/>
        <w:tblLayout w:type="autofit"/>
        <w:tblLook w:firstColumn="1" w:firstRow="1" w:lastColumn="0" w:lastRow="0" w:noHBand="0" w:noVBand="1" w:val="04A0"/>
      </w:tblPr>
      <w:tblGrid>
        <w:gridCol w:w="2888"/>
        <w:gridCol w:w="2888"/>
        <w:gridCol w:w="2888"/>
      </w:tblGrid>
      <w:tr>
        <w:trPr>
          <w:tblHeader w:val="true"/>
          <w:cantSplit/>
        </w:trPr>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กลุ่มความยาว</w:t>
            </w:r>
          </w:p>
        </w:tc>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ตรวจพบถูกต้อง / ทั้งหมด</w:t>
            </w:r>
          </w:p>
        </w:tc>
        <w:tc>
          <w:tcPr>
            <w:tcW w:type="dxa" w:w="2888"/>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NDR</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ข้อความสั้น</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6 / 6</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1.0000</w:t>
            </w:r>
          </w:p>
        </w:tc>
      </w:tr>
      <w:tr>
        <w:trPr>
          <w:cantSplit/>
        </w:trPr>
        <w:tc>
          <w:tcPr>
            <w:tcW w:type="dxa" w:w="2888"/>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ข้อความปานกลาง</w:t>
            </w:r>
          </w:p>
        </w:tc>
        <w:tc>
          <w:tcPr>
            <w:tcW w:type="dxa" w:w="2888"/>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4 / 6</w:t>
            </w:r>
          </w:p>
        </w:tc>
        <w:tc>
          <w:tcPr>
            <w:tcW w:type="dxa" w:w="2888"/>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0.6667</w:t>
            </w:r>
          </w:p>
        </w:tc>
      </w:tr>
      <w:tr>
        <w:trPr>
          <w:cantSplit/>
        </w:trPr>
        <w:tc>
          <w:tcPr>
            <w:tcW w:type="dxa" w:w="2888"/>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ข้อความยาว</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3 / 6</w:t>
            </w:r>
          </w:p>
        </w:tc>
        <w:tc>
          <w:tcPr>
            <w:tcW w:type="dxa" w:w="2888"/>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0.5000</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อัตราการตรวจจับลดลงเมื่อข้อความยาวขึ้น สอดคล้องกับข้อจำกัดของหน้าต่าง 30 ตัวอักษร เนื่องจากคำปฏิเสธอาจอยู่ห่างจากคำสำคัญหรือมีข้อความของบุคคลอื่นแทรกอยู่ กลไกนี้จึงควรใช้เป็นกฎความปลอดภัยเสริม ไม่ใช่ตัวแทนการทำความเข้าใจความหมายของประโยคทั้งหมด</w:t>
      </w:r>
    </w:p>
    <w:p>
      <w:pPr>
        <w:keepNext/>
        <w:widowControl/>
        <w:spacing w:before="240" w:after="80"/>
        <w:jc w:val="left"/>
      </w:pPr>
      <w:r>
        <w:rPr>
          <w:rFonts w:ascii="TH SarabunPSK" w:hAnsi="TH SarabunPSK" w:eastAsia="TH SarabunPSK" w:cs="TH SarabunPSK"/>
          <w:b/>
          <w:i w:val="0"/>
          <w:sz w:val="36"/>
          <w:lang w:val="th-TH" w:eastAsia="th-TH"/>
        </w:rPr>
        <w:t>4.3 ผลการประเมินการค้นคืนเอกสาร</w:t>
      </w:r>
    </w:p>
    <w:p>
      <w:pPr>
        <w:keepNext/>
        <w:widowControl/>
        <w:spacing w:before="160" w:after="60"/>
        <w:jc w:val="left"/>
      </w:pPr>
      <w:r>
        <w:rPr>
          <w:rFonts w:ascii="TH SarabunPSK" w:hAnsi="TH SarabunPSK" w:eastAsia="TH SarabunPSK" w:cs="TH SarabunPSK"/>
          <w:b/>
          <w:i w:val="0"/>
          <w:sz w:val="32"/>
          <w:lang w:val="th-TH" w:eastAsia="th-TH"/>
        </w:rPr>
        <w:t>4.3.1 ผลรวมของ 8 กลยุทธ์</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ผลหลักใช้ full matrix ที่รันเสร็จเมื่อวันที่ 26 กรกฎาคม 2569 บนชุดทดสอบ 76 กรณี จำนวน 3 รอบต่อแบบจำลอง ใช้ผลตรวจจับของ Qwen 2.5 7B และคืนเอกสารสูงสุด 15 รายการต่อกรณี ผู้วิจัยคำนวณ DCG และ IDCG เพิ่มจาก </w:t>
      </w:r>
      <w:r>
        <w:rPr>
          <w:rFonts w:ascii="TH SarabunPSK" w:hAnsi="TH SarabunPSK" w:eastAsia="TH SarabunPSK" w:cs="TH SarabunPSK"/>
          <w:b w:val="0"/>
          <w:i/>
          <w:sz w:val="32"/>
          <w:lang w:val="th-TH" w:eastAsia="th-TH"/>
        </w:rPr>
        <w:t>doc_ids</w:t>
      </w:r>
      <w:r>
        <w:rPr>
          <w:rFonts w:ascii="TH SarabunPSK" w:hAnsi="TH SarabunPSK" w:eastAsia="TH SarabunPSK" w:cs="TH SarabunPSK"/>
          <w:b w:val="0"/>
          <w:i w:val="0"/>
          <w:sz w:val="32"/>
          <w:lang w:val="th-TH" w:eastAsia="th-TH"/>
        </w:rPr>
        <w:t xml:space="preserve"> โดยสร้าง relevance grades ซ้ำด้วย ground truth และกฎเดียวกับการรันเดิมเมื่อวันที่ 30 กรกฎาคม 2569 การตรวจสอบให้ค่าตัวชี้วัดเดิมตรงกับ artifact ทุกค่า โดยมีความคลาดเคลื่อนสูงสุดเท่ากับศูนย์ ตารางที่ 4.4ก และ 4.4ข แสดงค่าเฉลี่ยจาก 228 แถวต่อกลยุทธ์</w:t>
      </w:r>
    </w:p>
    <w:p>
      <w:pPr>
        <w:keepNext/>
        <w:spacing w:before="120" w:after="60"/>
        <w:jc w:val="center"/>
      </w:pPr>
      <w:r>
        <w:rPr>
          <w:rFonts w:ascii="TH SarabunPSK" w:hAnsi="TH SarabunPSK" w:eastAsia="TH SarabunPSK" w:cs="TH SarabunPSK"/>
          <w:b/>
          <w:i w:val="0"/>
          <w:sz w:val="32"/>
          <w:lang w:val="th-TH" w:eastAsia="th-TH"/>
        </w:rPr>
        <w:t>ตารางที่ 4.4ก ผลการค้นคืนเอกสารที่ลำดับ 5 บนชุดทดสอบ 76 กรณี</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กลยุทธ์</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BM25 only</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0.1316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0.2682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0.1652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0.7408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1.1632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0.2611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0.2731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0.3334</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Naive RAG</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0.1237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0.2590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0.1554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0.6199</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1.0924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0.2392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0.2984</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HyDE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0.0395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0.1241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0.0563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0.2031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0.4456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0.0915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0.0850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0.0972</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Basic hybrid</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0.3138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0.1913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0.7305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1.1289</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0.2807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0.2782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0.3208</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H2L-BM25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0.2985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0.1824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0.7916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1.0735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0.2813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0.2668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0.3141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H2L-naive RAG</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0.1211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0.2529</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0.6280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1.1533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0.2390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0.2345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0.3124</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H2L-HyDE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0.0333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0.0871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0.0451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0.1752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0.5605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0.0771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0.0877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0.0989</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i w:val="0"/>
                <w:sz w:val="19"/>
                <w:lang w:val="th-TH" w:eastAsia="th-TH"/>
              </w:rPr>
              <w:t>H2L-hybrid</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0.3215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0.1926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0.2975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0.3351</w:t>
            </w:r>
          </w:p>
        </w:tc>
      </w:tr>
    </w:tbl>
    <w:p>
      <w:pPr>
        <w:spacing w:after="40"/>
      </w:pPr>
    </w:p>
    <w:p>
      <w:pPr>
        <w:keepNext/>
        <w:spacing w:before="120" w:after="60"/>
        <w:jc w:val="center"/>
      </w:pPr>
      <w:r>
        <w:rPr>
          <w:rFonts w:ascii="TH SarabunPSK" w:hAnsi="TH SarabunPSK" w:eastAsia="TH SarabunPSK" w:cs="TH SarabunPSK"/>
          <w:b/>
          <w:i w:val="0"/>
          <w:sz w:val="32"/>
          <w:lang w:val="th-TH" w:eastAsia="th-TH"/>
        </w:rPr>
        <w:t>ตารางที่ 4.4ข ผลการค้นคืนเอกสารที่ลำดับ 10 บนชุดทดสอบ 76 กรณี</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กลยุทธ์</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BM25 only</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0.3261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0.1247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0.8171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1.1632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0.2861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0.2731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0.3334</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Naive RAG</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0.0803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0.3151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0.1213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0.7229</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1.0971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0.2623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0.2984</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HyDE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0.0303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0.1864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0.0497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0.2379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0.4456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0.1109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0.0850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0.0972</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Basic hybrid</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0.0908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0.3768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0.1405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0.7868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1.1289</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0.3031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0.2782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0.3208</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H2L-BM25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0.0868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0.3603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0.1334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0.8364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1.0782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0.3018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0.2668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0.3141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H2L-naive RAG</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0.0855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0.3364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0.1288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0.7561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1.1627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0.2720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0.2345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0.3124</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H2L-HyDE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0.0360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0.1842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0.0572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0.2490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0.5605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0.1149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0.0877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0.0989</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i w:val="0"/>
                <w:sz w:val="19"/>
                <w:lang w:val="th-TH" w:eastAsia="th-TH"/>
              </w:rPr>
              <w:t>H2L-hybrid</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0.3943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0.1467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0.3285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19"/>
                <w:lang w:val="th-TH" w:eastAsia="th-TH"/>
              </w:rPr>
              <w:t>0.3351</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H2L-hybrid ให้ค่าเฉลี่ยสูงสุดใน nDCG@5, nDCG@10, MAP, MRR, R@5, R@10, F1@5 และ F1@10 และเสมอกับ basic hybrid ใน P@5 เมื่อเทียบกับ basic hybrid ค่า nDCG@10 เพิ่มขึ้น 0.0254 หรือร้อยละ 8.4 ในเชิงสัมพัทธ์ ขณะที่ R@10 เพิ่มขึ้น 0.0175 อย่างไรก็ตาม H2L-BM25 ให้ DCG สูงกว่า H2L-hybrid ทั้งสอง cutoff แต่มี IDCG ต่างกัน จึงไม่ขัดกับผล nDCG ผล HyDE ใน full matrix ล่าสุดต่ำกว่าผลวันที่ 23 กรกฎาคมอย่างชัดเจน บทนี้จึงใช้ค่าจากวันที่ 26 กรกฎาคมซึ่งเป็น artifact ล่าสุด และไม่ผสมค่าจากการรัน HyDE คนละรอบ</w:t>
      </w:r>
    </w:p>
    <w:p>
      <w:pPr>
        <w:keepNext/>
        <w:widowControl/>
        <w:spacing w:before="160" w:after="60"/>
        <w:jc w:val="left"/>
      </w:pPr>
      <w:r>
        <w:rPr>
          <w:rFonts w:ascii="TH SarabunPSK" w:hAnsi="TH SarabunPSK" w:eastAsia="TH SarabunPSK" w:cs="TH SarabunPSK"/>
          <w:b/>
          <w:i w:val="0"/>
          <w:sz w:val="32"/>
          <w:lang w:val="th-TH" w:eastAsia="th-TH"/>
        </w:rPr>
        <w:t>4.3.2 การทดสอบนัยสำคัญทางสถิติ</w:t>
      </w:r>
    </w:p>
    <w:p>
      <w:pPr>
        <w:widowControl/>
        <w:spacing w:line="240" w:lineRule="auto" w:after="80"/>
        <w:ind w:firstLine="709"/>
        <w:jc w:val="both"/>
      </w:pPr>
      <w:r>
        <w:rPr>
          <w:rFonts w:ascii="TH SarabunPSK" w:hAnsi="TH SarabunPSK" w:eastAsia="TH SarabunPSK" w:cs="TH SarabunPSK"/>
          <w:b w:val="0"/>
          <w:i w:val="0"/>
          <w:sz w:val="32"/>
          <w:lang w:val="th-TH" w:eastAsia="th-TH"/>
        </w:rPr>
        <w:t>การวิเคราะห์ล่าสุดเฉลี่ยค่า 3 รอบภายในแต่ละกรณีก่อนทดสอบ ทำให้หน่วยวิเคราะห์เป็นกรณีอิสระ 76 กรณี ไม่ใช่ 228 แถวที่มีการวัดซ้ำ เนื่องจากผลต่างรายกรณีมีค่าศูนย์จำนวนมากและไม่เป็นปกติ จึงใช้ two-sided Wilcoxon signed-rank test และปรับ Holm แยกเป็นสอง family สำหรับ nDCG@5 และ nDCG@10 ตารางที่ 4.5ก และ 4.5ข แสดงผลที่คำนวณเมื่อวันที่ 30 กรกฎาคม 2569</w:t>
      </w:r>
    </w:p>
    <w:p>
      <w:pPr>
        <w:keepNext/>
        <w:spacing w:before="120" w:after="60"/>
        <w:jc w:val="center"/>
      </w:pPr>
      <w:r>
        <w:rPr>
          <w:rFonts w:ascii="TH SarabunPSK" w:hAnsi="TH SarabunPSK" w:eastAsia="TH SarabunPSK" w:cs="TH SarabunPSK"/>
          <w:b/>
          <w:i w:val="0"/>
          <w:sz w:val="32"/>
          <w:lang w:val="th-TH" w:eastAsia="th-TH"/>
        </w:rPr>
        <w:t>ตารางที่ 4.5ก ผล Wilcoxon-Holm ของ nDCG@5 ระหว่าง H2L-hybrid กับกลยุทธ์อื่น</w:t>
      </w:r>
    </w:p>
    <w:tbl>
      <w:tblPr>
        <w:tblStyle w:val="TableGrid"/>
        <w:tblW w:type="auto" w:w="0"/>
        <w:jc w:val="center"/>
        <w:tblLayout w:type="autofit"/>
        <w:tblLook w:firstColumn="1" w:firstRow="1" w:lastColumn="0" w:lastRow="0" w:noHBand="0" w:noVBand="1" w:val="04A0"/>
      </w:tblPr>
      <w:tblGrid>
        <w:gridCol w:w="1444"/>
        <w:gridCol w:w="1444"/>
        <w:gridCol w:w="1444"/>
        <w:gridCol w:w="1444"/>
        <w:gridCol w:w="1444"/>
        <w:gridCol w:w="1444"/>
      </w:tblGrid>
      <w:tr>
        <w:trPr>
          <w:tblHeader w:val="true"/>
          <w:cantSplit/>
        </w:trPr>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กลยุทธ์เปรียบเทียบ</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ผลต่างเฉลี่ย</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คู่ที่ผลต่างไม่เป็นศูนย์</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p ดิบ</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p หลังปรับ Holm</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ผลสรุป</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BM25 only</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+0.0364</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23 / 76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0.0225</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0.0676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ไม่แตกต่างอย่างมีนัยสำคัญ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Naive RAG</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+0.0582</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28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0.0063</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0.0251</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HyDE</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+0.2060</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28 / 76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0.0002</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Basic hybrid</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+0.0168</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13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0.0640</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0.1281</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ไม่แตกต่างอย่างมีนัยสำคัญ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H2L-BM25</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+0.0162</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22 / 76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0.2113</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0.2113</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ไม่แตกต่างอย่างมีนัยสำคัญ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H2L-naive RAG</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+0.0585</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26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0.0034</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0.0168</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H2L-HyDE</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+0.2204</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28 / 76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bl>
    <w:p>
      <w:pPr>
        <w:spacing w:after="40"/>
      </w:pPr>
    </w:p>
    <w:p>
      <w:pPr>
        <w:keepNext/>
        <w:spacing w:before="120" w:after="60"/>
        <w:jc w:val="center"/>
      </w:pPr>
      <w:r>
        <w:rPr>
          <w:rFonts w:ascii="TH SarabunPSK" w:hAnsi="TH SarabunPSK" w:eastAsia="TH SarabunPSK" w:cs="TH SarabunPSK"/>
          <w:b/>
          <w:i w:val="0"/>
          <w:sz w:val="32"/>
          <w:lang w:val="th-TH" w:eastAsia="th-TH"/>
        </w:rPr>
        <w:t>ตารางที่ 4.5ข ผล Wilcoxon-Holm ของ nDCG@10 ระหว่าง H2L-hybrid กับกลยุทธ์อื่น</w:t>
      </w:r>
    </w:p>
    <w:tbl>
      <w:tblPr>
        <w:tblStyle w:val="TableGrid"/>
        <w:tblW w:type="auto" w:w="0"/>
        <w:jc w:val="center"/>
        <w:tblLayout w:type="autofit"/>
        <w:tblLook w:firstColumn="1" w:firstRow="1" w:lastColumn="0" w:lastRow="0" w:noHBand="0" w:noVBand="1" w:val="04A0"/>
      </w:tblPr>
      <w:tblGrid>
        <w:gridCol w:w="1444"/>
        <w:gridCol w:w="1444"/>
        <w:gridCol w:w="1444"/>
        <w:gridCol w:w="1444"/>
        <w:gridCol w:w="1444"/>
        <w:gridCol w:w="1444"/>
      </w:tblGrid>
      <w:tr>
        <w:trPr>
          <w:tblHeader w:val="true"/>
          <w:cantSplit/>
        </w:trPr>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กลยุทธ์เปรียบเทียบ</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ผลต่างเฉลี่ย</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คู่ที่ผลต่างไม่เป็นศูนย์</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p ดิบ</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p หลังปรับ Holm</w:t>
            </w:r>
          </w:p>
        </w:tc>
        <w:tc>
          <w:tcPr>
            <w:tcW w:type="dxa" w:w="1444"/>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ผลสรุป</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BM25 only</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+0.0425</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26 / 76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0.0164</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0.0416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Naive RAG</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+0.0662</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29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0.0004</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0.0019</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HyDE</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+0.2176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31 / 76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Basic hybrid</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+0.0254</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18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0.0139</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0.0416</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H2L-BM25</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+0.0268</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26 / 76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0.0490</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0.0490</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H2L-naive RAG</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+0.0566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29 / 76</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0.0009</w:t>
            </w:r>
          </w:p>
        </w:tc>
        <w:tc>
          <w:tcPr>
            <w:tcW w:type="dxa" w:w="1444"/>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0.0036</w:t>
            </w:r>
          </w:p>
        </w:tc>
        <w:tc>
          <w:tcPr>
            <w:tcW w:type="dxa" w:w="1444"/>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r>
        <w:trPr>
          <w:cantSplit/>
        </w:trPr>
        <w:tc>
          <w:tcPr>
            <w:tcW w:type="dxa" w:w="1444"/>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H2L-HyDE</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+0.2136</w:t>
            </w:r>
          </w:p>
        </w:tc>
        <w:tc>
          <w:tcPr>
            <w:tcW w:type="dxa" w:w="1444"/>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32 / 76</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&lt;0.0001</w:t>
            </w:r>
          </w:p>
        </w:tc>
        <w:tc>
          <w:tcPr>
            <w:tcW w:type="dxa" w:w="1444"/>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แตกต่างอย่างมีนัยสำคัญ</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ที่ลำดับ 5 H2L-hybrid สูงกว่าอย่างมีนัยสำคัญ 4 จาก 7 คู่ แต่ยังไม่ต่างจาก BM25 only, basic hybrid และ H2L-BM25 หลังปรับ Holm ที่ลำดับ 10 ผลต่างผ่านเกณฑ์ 0.05 ครบ 7 คู่ รวมถึง basic hybrid และ BM25 only อย่างไรก็ตาม หลายกรณีมีผลต่างเท่ากับศูนย์และคู่ที่เกิดความแตกต่างมีเพียง 13-32 จาก 76 กรณี ข้อสรุปจึงควรเน้นว่าประโยชน์ของ H2L ปรากฏชัดกว่าเมื่อพิจารณา 10 อันดับแรก ไม่ควรตีความว่าระบบดีขึ้นในทุกกรณี</w:t>
      </w:r>
    </w:p>
    <w:p>
      <w:pPr>
        <w:keepNext/>
        <w:widowControl/>
        <w:spacing w:before="160" w:after="60"/>
        <w:jc w:val="left"/>
      </w:pPr>
      <w:r>
        <w:rPr>
          <w:rFonts w:ascii="TH SarabunPSK" w:hAnsi="TH SarabunPSK" w:eastAsia="TH SarabunPSK" w:cs="TH SarabunPSK"/>
          <w:b/>
          <w:i w:val="0"/>
          <w:sz w:val="32"/>
          <w:lang w:val="th-TH" w:eastAsia="th-TH"/>
        </w:rPr>
        <w:t>4.3.3 ผลตามระดับความซับซ้อน</w:t>
      </w:r>
    </w:p>
    <w:p>
      <w:pPr>
        <w:keepNext/>
        <w:spacing w:before="120" w:after="60"/>
        <w:jc w:val="center"/>
      </w:pPr>
      <w:r>
        <w:rPr>
          <w:rFonts w:ascii="TH SarabunPSK" w:hAnsi="TH SarabunPSK" w:eastAsia="TH SarabunPSK" w:cs="TH SarabunPSK"/>
          <w:b/>
          <w:i w:val="0"/>
          <w:sz w:val="32"/>
          <w:lang w:val="th-TH" w:eastAsia="th-TH"/>
        </w:rPr>
        <w:t>ตารางที่ 4.6 ค่า nDCG@10 จำแนกตามความซับซ้อนของกรณี</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tblGrid>
      <w:tr>
        <w:trPr>
          <w:tblHeader w:val="true"/>
          <w:cantSplit/>
        </w:trPr>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กลยุทธ์</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Simple (n = 35)</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Moderate (n = 23)</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Complex (n = 18)</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รวม</w:t>
            </w:r>
          </w:p>
        </w:tc>
      </w:tr>
      <w:tr>
        <w:trPr>
          <w:cantSplit/>
        </w:trPr>
        <w:tc>
          <w:tcPr>
            <w:tcW w:type="dxa" w:w="173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BM25 only</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0.2825</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0.2885</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0.2900</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0.2861</w:t>
            </w:r>
          </w:p>
        </w:tc>
      </w:tr>
      <w:tr>
        <w:trPr>
          <w:cantSplit/>
        </w:trPr>
        <w:tc>
          <w:tcPr>
            <w:tcW w:type="dxa" w:w="173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Basic hybrid</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0.2885</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0.3557</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0.2645</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0.3031</w:t>
            </w:r>
          </w:p>
        </w:tc>
      </w:tr>
      <w:tr>
        <w:trPr>
          <w:cantSplit/>
        </w:trPr>
        <w:tc>
          <w:tcPr>
            <w:tcW w:type="dxa" w:w="173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H2L-BM25</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0.2604</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0.3852</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0.2756</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0.3018</w:t>
            </w:r>
          </w:p>
        </w:tc>
      </w:tr>
      <w:tr>
        <w:trPr>
          <w:cantSplit/>
        </w:trPr>
        <w:tc>
          <w:tcPr>
            <w:tcW w:type="dxa" w:w="173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i w:val="0"/>
                <w:sz w:val="24"/>
                <w:lang w:val="th-TH" w:eastAsia="th-TH"/>
              </w:rPr>
              <w:t>H2L-hybrid</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0.2872</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0.4131</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0.3009</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0.3285</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ความได้เปรียบเชิงพรรณนาของ H2L-hybrid กระจุกตัวในกลุ่ม moderate โดยสูงกว่า basic hybrid 0.0575 และสูงกว่า BM25 only 0.1247 ส่วนกลุ่ม simple มีค่าใกล้กับ basic hybrid และในกลุ่ม complex H2L-hybrid สูงที่สุดแต่ต่างจาก BM25 only เพียง 0.0109 เนื่องจากยังไม่มีการทดสอบนัยสำคัญภายในแต่ละกลุ่มย่อย ผลส่วนนี้จึงควรตีความเป็นรูปแบบที่พบ ไม่ใช่ข้อยืนยันเชิงสาเหตุว่า H2L เหมาะกับกลุ่ม moderate มากกว่ากลุ่มอื่น</w:t>
      </w:r>
    </w:p>
    <w:p>
      <w:pPr>
        <w:keepNext/>
        <w:widowControl/>
        <w:spacing w:before="240" w:after="80"/>
        <w:jc w:val="left"/>
      </w:pPr>
      <w:r>
        <w:rPr>
          <w:rFonts w:ascii="TH SarabunPSK" w:hAnsi="TH SarabunPSK" w:eastAsia="TH SarabunPSK" w:cs="TH SarabunPSK"/>
          <w:b/>
          <w:i w:val="0"/>
          <w:sz w:val="36"/>
          <w:lang w:val="th-TH" w:eastAsia="th-TH"/>
        </w:rPr>
        <w:t>4.4 ผลการเปรียบเทียบแบบจำลองภาษาในชั้น L2</w:t>
      </w:r>
    </w:p>
    <w:p>
      <w:pPr>
        <w:widowControl/>
        <w:spacing w:line="240" w:lineRule="auto" w:after="80"/>
        <w:ind w:firstLine="709"/>
        <w:jc w:val="both"/>
      </w:pPr>
      <w:r>
        <w:rPr>
          <w:rFonts w:ascii="TH SarabunPSK" w:hAnsi="TH SarabunPSK" w:eastAsia="TH SarabunPSK" w:cs="TH SarabunPSK"/>
          <w:b w:val="0"/>
          <w:i w:val="0"/>
          <w:sz w:val="32"/>
          <w:lang w:val="th-TH" w:eastAsia="th-TH"/>
        </w:rPr>
        <w:t>การทดลองล่าสุดเปรียบเทียบ Qwen 2.5 7B, Typhoon 2 8B Instruct และ Typhoon 2.1-Gemma3 4B บนชุดทดสอบ 76 กรณี จำนวน 3 รอบ รวม 228 แถวต่อแบบจำลอง โดยตรึง prompt, taxonomy, temperature 0.2, seed 42, embedding model, reranker และสูตร H2L ไว้คงที่ L2 ถูกเรียกใน 55 จาก 76 กรณีต่อรอบ หรือ 72.37%</w:t>
      </w:r>
    </w:p>
    <w:p>
      <w:pPr>
        <w:keepNext/>
        <w:spacing w:before="120" w:after="60"/>
        <w:jc w:val="center"/>
      </w:pPr>
      <w:r>
        <w:rPr>
          <w:rFonts w:ascii="TH SarabunPSK" w:hAnsi="TH SarabunPSK" w:eastAsia="TH SarabunPSK" w:cs="TH SarabunPSK"/>
          <w:b/>
          <w:i w:val="0"/>
          <w:sz w:val="32"/>
          <w:lang w:val="th-TH" w:eastAsia="th-TH"/>
        </w:rPr>
        <w:t>ตารางที่ 4.7 ผลการเปรียบเทียบแบบจำลอง L2 เฉลี่ย 3 รอบ</w:t>
      </w:r>
    </w:p>
    <w:tbl>
      <w:tblPr>
        <w:tblStyle w:val="TableGrid"/>
        <w:tblW w:type="auto" w:w="0"/>
        <w:jc w:val="center"/>
        <w:tblLayout w:type="autofit"/>
        <w:tblLook w:firstColumn="1" w:firstRow="1" w:lastColumn="0" w:lastRow="0" w:noHBand="0" w:noVBand="1" w:val="04A0"/>
      </w:tblPr>
      <w:tblGrid>
        <w:gridCol w:w="2166"/>
        <w:gridCol w:w="2166"/>
        <w:gridCol w:w="2166"/>
        <w:gridCol w:w="2166"/>
      </w:tblGrid>
      <w:tr>
        <w:trPr>
          <w:tblHeader w:val="true"/>
          <w:cantSplit/>
        </w:trPr>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ตัวชี้วัด</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Qwen 2.5 7B</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Typhoon 2 8B</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Typhoon-Gemma3 4B</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Micro precision</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0.3255</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0.3286</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0.3317</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Micro recall</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0.4286</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0.4286</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0.4286</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Micro F1</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0.3700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0.3720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0.3740</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Macro F1</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0.3401</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0.3392</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0.3414</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Exact match</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0.1711</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0.1711</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0.1711</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Mean Jaccard</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0.3111</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0.3122</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Median L2 latency</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12.34 วินาที</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13.14 วินาที</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8.33 วินาที</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P95 L2 latency</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22.01 วินาที</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25.09 วินาที</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15.19 วินาที</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L2 degraded rate</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1.82%</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0.00%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1.82%</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ความเสถียรของชุดรหัสข้าม 3 รอบ</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100%</w:t>
            </w:r>
          </w:p>
        </w:tc>
      </w:tr>
    </w:tbl>
    <w:p>
      <w:pPr>
        <w:spacing w:after="40"/>
      </w:pPr>
    </w:p>
    <w:p>
      <w:pPr>
        <w:keepNext/>
        <w:spacing w:before="120" w:after="60"/>
        <w:jc w:val="center"/>
      </w:pPr>
      <w:r>
        <w:rPr>
          <w:rFonts w:ascii="TH SarabunPSK" w:hAnsi="TH SarabunPSK" w:eastAsia="TH SarabunPSK" w:cs="TH SarabunPSK"/>
          <w:b/>
          <w:i w:val="0"/>
          <w:sz w:val="32"/>
          <w:lang w:val="th-TH" w:eastAsia="th-TH"/>
        </w:rPr>
        <w:t>ตารางที่ 4.7ก ผล retrieval ของ H2L-hybrid ที่ลำดับ 5 จำแนกตามแบบจำลอง L2</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แบบจำลอง</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Qwen 2.5 7B</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0.3215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0.1926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0.7543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0.2975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0.2933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Typhoon 2 8B</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0.3215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0.1926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0.7492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0.2915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0.2860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0.3263</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Typhoon-Gemma3 4B</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0.3215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0.1926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0.7477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0.2909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0.2845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0.3263</w:t>
            </w:r>
          </w:p>
        </w:tc>
      </w:tr>
    </w:tbl>
    <w:p>
      <w:pPr>
        <w:spacing w:after="40"/>
      </w:pPr>
    </w:p>
    <w:p>
      <w:pPr>
        <w:keepNext/>
        <w:spacing w:before="120" w:after="60"/>
        <w:jc w:val="center"/>
      </w:pPr>
      <w:r>
        <w:rPr>
          <w:rFonts w:ascii="TH SarabunPSK" w:hAnsi="TH SarabunPSK" w:eastAsia="TH SarabunPSK" w:cs="TH SarabunPSK"/>
          <w:b/>
          <w:i w:val="0"/>
          <w:sz w:val="32"/>
          <w:lang w:val="th-TH" w:eastAsia="th-TH"/>
        </w:rPr>
        <w:t>ตารางที่ 4.7ข ผล retrieval ของ H2L-hybrid ที่ลำดับ 10 จำแนกตามแบบจำลอง L2</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แบบจำลอง</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Qwen 2.5 7B</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0.3943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0.1467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0.8324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0.3285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0.2933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Typhoon 2 8B</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0.3943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0.1467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0.8275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0.3226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0.2860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0.3263</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Typhoon-Gemma3 4B</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0.3943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0.1467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0.8258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0.3220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0.2845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0.3263</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คุณภาพการตรวจจับของทั้งสามแบบจำลองใกล้เคียงกันมาก โดยต่างกันไม่เกิน 0.004 ใน Micro F1 และ 0.0022 ใน Macro F1 แบบจำลอง Typhoon-Gemma3 4B เร็วที่สุดและใช้ทรัพยากรน้อยกว่า ขณะที่ Qwen ให้ DCG, nDCG, MAP และ MRR ของ H2L-hybrid สูงที่สุดทั้งสอง cutoff และ Typhoon 2 8B ไม่เกิด degraded call ในการรันนี้ ค่า P, R และ F1 เท่ากันเพราะแบบจำลองเปลี่ยนลำดับของเอกสารเกี่ยวข้อง แต่ไม่เปลี่ยนจำนวนเอกสารเกี่ยวข้องที่อยู่ภายใน cutoff ผลดังกล่าวไม่แสดงผู้ชนะเพียงตัวเดียว แต่เป็น trade-off ระหว่างคุณภาพ retrieval ความเร็ว และความเสถียรของ runtime การเลือก Qwen เป็นค่าเริ่มต้นจึงอธิบายได้จากผล retrieval แต่ไม่ควรตีความว่า Qwen มีความสามารถตรวจจับปัญหาเหนือกว่าอีกสองแบบจำลอง</w:t>
      </w:r>
    </w:p>
    <w:p>
      <w:pPr>
        <w:keepNext/>
        <w:widowControl/>
        <w:spacing w:before="240" w:after="80"/>
        <w:jc w:val="left"/>
      </w:pPr>
      <w:r>
        <w:rPr>
          <w:rFonts w:ascii="TH SarabunPSK" w:hAnsi="TH SarabunPSK" w:eastAsia="TH SarabunPSK" w:cs="TH SarabunPSK"/>
          <w:b/>
          <w:i w:val="0"/>
          <w:sz w:val="36"/>
          <w:lang w:val="th-TH" w:eastAsia="th-TH"/>
        </w:rPr>
        <w:t>4.5 ผลการตัดองค์ประกอบและการวิเคราะห์ความไว</w:t>
      </w:r>
    </w:p>
    <w:p>
      <w:pPr>
        <w:keepNext/>
        <w:widowControl/>
        <w:spacing w:before="160" w:after="60"/>
        <w:jc w:val="left"/>
      </w:pPr>
      <w:r>
        <w:rPr>
          <w:rFonts w:ascii="TH SarabunPSK" w:hAnsi="TH SarabunPSK" w:eastAsia="TH SarabunPSK" w:cs="TH SarabunPSK"/>
          <w:b/>
          <w:i w:val="0"/>
          <w:sz w:val="32"/>
          <w:lang w:val="th-TH" w:eastAsia="th-TH"/>
        </w:rPr>
        <w:t>4.5.1 การทดลองตัดองค์ประกอบ H2L V6</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component ablation คำนวณใหม่เมื่อวันที่ 30 กรกฎาคม 2569 บน test split 76 กรณี โดยตรึง candidate pool 45 รายการต่อกรณีและใช้ cached detector outputs ของ Qwen 2.5 7B รอบที่ 1 จาก full matrix เปรียบเทียบ Full V6 แบบ weighted sum กับการปิด Adaptive Alpha, Bayesian Prior, IDF Specificity, KL Penalty, Margin Activation, Negation Gate และการเปลี่ยนเป็น Product Feature Mode ผลมี 608 แถวหรือ 76 กรณีคูณ 8 configurations และตรวจสอบสมการ </w:t>
      </w:r>
      <w:r>
        <w:rPr>
          <w:rFonts w:ascii="TH SarabunPSK" w:hAnsi="TH SarabunPSK" w:eastAsia="TH SarabunPSK" w:cs="TH SarabunPSK"/>
          <w:b w:val="0"/>
          <w:i/>
          <w:sz w:val="32"/>
          <w:lang w:val="th-TH" w:eastAsia="th-TH"/>
        </w:rPr>
        <w:t>nDCG = DCG/IDCG</w:t>
      </w:r>
      <w:r>
        <w:rPr>
          <w:rFonts w:ascii="TH SarabunPSK" w:hAnsi="TH SarabunPSK" w:eastAsia="TH SarabunPSK" w:cs="TH SarabunPSK"/>
          <w:b w:val="0"/>
          <w:i w:val="0"/>
          <w:sz w:val="32"/>
          <w:lang w:val="th-TH" w:eastAsia="th-TH"/>
        </w:rPr>
        <w:t xml:space="preserve"> ผ่านทุกแถวทั้งสอง cutoff</w:t>
      </w:r>
    </w:p>
    <w:p>
      <w:pPr>
        <w:keepNext/>
        <w:spacing w:before="120" w:after="60"/>
        <w:jc w:val="center"/>
      </w:pPr>
      <w:r>
        <w:rPr>
          <w:rFonts w:ascii="TH SarabunPSK" w:hAnsi="TH SarabunPSK" w:eastAsia="TH SarabunPSK" w:cs="TH SarabunPSK"/>
          <w:b/>
          <w:i w:val="0"/>
          <w:sz w:val="32"/>
          <w:lang w:val="th-TH" w:eastAsia="th-TH"/>
        </w:rPr>
        <w:t>ตารางที่ 4.8ก ผลการตัดองค์ประกอบ H2L V6 ที่ลำดับ 5 (n = 76)</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Configuration</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nDCG@5</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Full V6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0.3193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0.1918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0.2921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Adaptive Alpha</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0.3215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0.1926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0.2975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Bayesian Prior</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0.3193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0.1918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0.2921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IDF Specificity</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0.3193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0.1918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0.2921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Margin Activation</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0.3149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0.1909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1.1197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0.2906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0.2895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KL Penalty</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0.3193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0.1918</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0.2921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Negation Gate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0.3193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0.1918</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0.2921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Product Feature Mode</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0.1500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0.3215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0.1926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0.7543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0.2975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bl>
    <w:p>
      <w:pPr>
        <w:spacing w:after="40"/>
      </w:pPr>
    </w:p>
    <w:p>
      <w:pPr>
        <w:keepNext/>
        <w:spacing w:before="120" w:after="60"/>
        <w:jc w:val="center"/>
      </w:pPr>
      <w:r>
        <w:rPr>
          <w:rFonts w:ascii="TH SarabunPSK" w:hAnsi="TH SarabunPSK" w:eastAsia="TH SarabunPSK" w:cs="TH SarabunPSK"/>
          <w:b/>
          <w:i w:val="0"/>
          <w:sz w:val="32"/>
          <w:lang w:val="th-TH" w:eastAsia="th-TH"/>
        </w:rPr>
        <w:t>ตารางที่ 4.8ข ผลการตัดองค์ประกอบ H2L V6 ที่ลำดับ 10 (n = 76)</w:t>
      </w:r>
    </w:p>
    <w:tbl>
      <w:tblPr>
        <w:tblStyle w:val="TableGrid"/>
        <w:tblW w:type="auto" w:w="0"/>
        <w:jc w:val="center"/>
        <w:tblLayout w:type="autofit"/>
        <w:tblLook w:firstColumn="1" w:firstRow="1" w:lastColumn="0" w:lastRow="0" w:noHBand="0" w:noVBand="1" w:val="04A0"/>
      </w:tblPr>
      <w:tblGrid>
        <w:gridCol w:w="963"/>
        <w:gridCol w:w="963"/>
        <w:gridCol w:w="963"/>
        <w:gridCol w:w="963"/>
        <w:gridCol w:w="963"/>
        <w:gridCol w:w="963"/>
        <w:gridCol w:w="963"/>
        <w:gridCol w:w="963"/>
        <w:gridCol w:w="963"/>
      </w:tblGrid>
      <w:tr>
        <w:trPr>
          <w:tblHeader w:val="true"/>
          <w:cantSplit/>
        </w:trPr>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Configuration</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P@10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R@10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F1@10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IDCG@10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nDCG@10</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MAP</w:t>
            </w:r>
          </w:p>
        </w:tc>
        <w:tc>
          <w:tcPr>
            <w:tcW w:type="dxa" w:w="96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19"/>
                <w:lang w:val="th-TH" w:eastAsia="th-TH"/>
              </w:rPr>
              <w:t>MRR</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Full V6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0.3910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0.1462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0.3222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Adaptive Alpha</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0.3943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0.1467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0.3285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Bayesian Prior</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0.3910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0.1462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0.3222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IDF Specificity</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0.3910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0.1462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0.3222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Margin Activation</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0.3866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0.1459</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1.1197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0.3207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0.2895</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w/o KL Penalty</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0.3910</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0.1462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0.3222</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19"/>
                <w:lang w:val="th-TH" w:eastAsia="th-TH"/>
              </w:rPr>
              <w:t>w/o Negation Gate</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0.3910</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0.1462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1.1131</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0.3222</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0.2916</w:t>
            </w:r>
          </w:p>
        </w:tc>
        <w:tc>
          <w:tcPr>
            <w:tcW w:type="dxa" w:w="96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19"/>
                <w:lang w:val="th-TH" w:eastAsia="th-TH"/>
              </w:rPr>
              <w:t>0.3351</w:t>
            </w:r>
          </w:p>
        </w:tc>
      </w:tr>
      <w:tr>
        <w:trPr>
          <w:cantSplit/>
        </w:trPr>
        <w:tc>
          <w:tcPr>
            <w:tcW w:type="dxa" w:w="96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19"/>
                <w:lang w:val="th-TH" w:eastAsia="th-TH"/>
              </w:rPr>
              <w:t>Product Feature Mode</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0.0947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0.3943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0.1467</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0.8324</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1.0811</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0.3285</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0.2933</w:t>
            </w:r>
          </w:p>
        </w:tc>
        <w:tc>
          <w:tcPr>
            <w:tcW w:type="dxa" w:w="96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19"/>
                <w:lang w:val="th-TH" w:eastAsia="th-TH"/>
              </w:rPr>
              <w:t>0.3351</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เมื่อเทียบกับ Full V6 การปิด Adaptive Alpha, การปิด Margin Activation และ Product Feature Mode ทำให้ nDCG เปลี่ยนเพียง 1 จาก 76 กรณี ส่วนอีก 4 variants ไม่เปลี่ยน nDCG รายกรณีเลย การทดสอบ Wilcoxon และปรับ Holm แยกสำหรับ nDCG@5 และ nDCG@10 ไม่พบความแตกต่างอย่างมีนัยสำคัญทุกคู่ โดย variants ที่มีผลต่างให้ p ดิบ = 0.3173 และ p หลังปรับ = 1.0000 ผลนี้แสดงว่าองค์ประกอบบางส่วนเปลี่ยนสเกลคะแนนและลำดับบางกรณี แต่ไม่สนับสนุนข้ออ้างว่าองค์ประกอบใดเพิ่มคุณภาพการจัดอันดับอย่างเป็นอิสระบนชุดทดสอบนี้</w:t>
      </w:r>
    </w:p>
    <w:p>
      <w:pPr>
        <w:keepNext/>
        <w:widowControl/>
        <w:spacing w:before="160" w:after="60"/>
        <w:jc w:val="left"/>
      </w:pPr>
      <w:r>
        <w:rPr>
          <w:rFonts w:ascii="TH SarabunPSK" w:hAnsi="TH SarabunPSK" w:eastAsia="TH SarabunPSK" w:cs="TH SarabunPSK"/>
          <w:b/>
          <w:i w:val="0"/>
          <w:sz w:val="32"/>
          <w:lang w:val="th-TH" w:eastAsia="th-TH"/>
        </w:rPr>
        <w:t>4.5.2 การวิเคราะห์ความไวระดับฟังก์ชันคะแนน</w:t>
      </w:r>
    </w:p>
    <w:p>
      <w:pPr>
        <w:widowControl/>
        <w:spacing w:line="240" w:lineRule="auto" w:after="80"/>
        <w:ind w:firstLine="709"/>
        <w:jc w:val="both"/>
      </w:pPr>
      <w:r>
        <w:rPr>
          <w:rFonts w:ascii="TH SarabunPSK" w:hAnsi="TH SarabunPSK" w:eastAsia="TH SarabunPSK" w:cs="TH SarabunPSK"/>
          <w:b w:val="0"/>
          <w:i w:val="0"/>
          <w:sz w:val="32"/>
          <w:lang w:val="th-TH" w:eastAsia="th-TH"/>
        </w:rPr>
        <w:t xml:space="preserve">การวิเคราะห์ One-at-a-Time คำนวณใหม่เมื่อวันที่ 30 กรกฎาคม 2569 บนชุดฝึก 129 กรณี โดยใช้ค่า confidence = 0.8 และ rerank score = 0.5 คงที่ จึงเป็นการทดสอบพฤติกรรมทางคณิตศาสตร์ของฟังก์ชันคะแนน ไม่ใช่การประเมิน retrieval end-to-end ชุดฝึกถูกใช้ในส่วนนี้เพื่อวิเคราะห์พารามิเตอร์โดยไม่ใช้ชุดทดสอบในการปรับแต่ง ด้วยเหตุนี้ผลส่วนนี้จึงรายงานการเปลี่ยนแปลงของคะแนนและไม่มีนิยาม </w:t>
      </w:r>
      <w:r>
        <w:rPr>
          <w:rFonts w:ascii="TH SarabunPSK" w:hAnsi="TH SarabunPSK" w:eastAsia="TH SarabunPSK" w:cs="TH SarabunPSK"/>
          <w:b w:val="0"/>
          <w:i/>
          <w:sz w:val="32"/>
          <w:lang w:val="th-TH" w:eastAsia="th-TH"/>
        </w:rPr>
        <w:t>@5</w:t>
      </w:r>
      <w:r>
        <w:rPr>
          <w:rFonts w:ascii="TH SarabunPSK" w:hAnsi="TH SarabunPSK" w:eastAsia="TH SarabunPSK" w:cs="TH SarabunPSK"/>
          <w:b w:val="0"/>
          <w:i w:val="0"/>
          <w:sz w:val="32"/>
          <w:lang w:val="th-TH" w:eastAsia="th-TH"/>
        </w:rPr>
        <w:t xml:space="preserve"> หรือ </w:t>
      </w:r>
      <w:r>
        <w:rPr>
          <w:rFonts w:ascii="TH SarabunPSK" w:hAnsi="TH SarabunPSK" w:eastAsia="TH SarabunPSK" w:cs="TH SarabunPSK"/>
          <w:b w:val="0"/>
          <w:i/>
          <w:sz w:val="32"/>
          <w:lang w:val="th-TH" w:eastAsia="th-TH"/>
        </w:rPr>
        <w:t>@10</w:t>
      </w:r>
      <w:r>
        <w:rPr>
          <w:rFonts w:ascii="TH SarabunPSK" w:hAnsi="TH SarabunPSK" w:eastAsia="TH SarabunPSK" w:cs="TH SarabunPSK"/>
          <w:b w:val="0"/>
          <w:i w:val="0"/>
          <w:sz w:val="32"/>
          <w:lang w:val="th-TH" w:eastAsia="th-TH"/>
        </w:rPr>
        <w:t>; ตัวชี้วัด retrieval ครบทั้งสอง cutoff รายงานแยกในตารางที่ 4.4, 4.7 และ 4.8</w:t>
      </w:r>
    </w:p>
    <w:p>
      <w:pPr>
        <w:keepNext/>
        <w:spacing w:before="120" w:after="60"/>
        <w:jc w:val="center"/>
      </w:pPr>
      <w:r>
        <w:rPr>
          <w:rFonts w:ascii="TH SarabunPSK" w:hAnsi="TH SarabunPSK" w:eastAsia="TH SarabunPSK" w:cs="TH SarabunPSK"/>
          <w:b/>
          <w:i w:val="0"/>
          <w:sz w:val="32"/>
          <w:lang w:val="th-TH" w:eastAsia="th-TH"/>
        </w:rPr>
        <w:t>ตารางที่ 4.9 ผลการวิเคราะห์ความไวของฟังก์ชันคะแนน</w:t>
      </w:r>
    </w:p>
    <w:tbl>
      <w:tblPr>
        <w:tblStyle w:val="TableGrid"/>
        <w:tblW w:type="auto" w:w="0"/>
        <w:jc w:val="center"/>
        <w:tblLayout w:type="autofit"/>
        <w:tblLook w:firstColumn="1" w:firstRow="1" w:lastColumn="0" w:lastRow="0" w:noHBand="0" w:noVBand="1" w:val="04A0"/>
      </w:tblPr>
      <w:tblGrid>
        <w:gridCol w:w="2166"/>
        <w:gridCol w:w="2166"/>
        <w:gridCol w:w="2166"/>
        <w:gridCol w:w="2166"/>
      </w:tblGrid>
      <w:tr>
        <w:trPr>
          <w:tblHeader w:val="true"/>
          <w:cantSplit/>
        </w:trPr>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พารามิเตอร์</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ค่าเริ่มต้น</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ช่วงที่ทดสอบ</w:t>
            </w:r>
          </w:p>
        </w:tc>
        <w:tc>
          <w:tcPr>
            <w:tcW w:type="dxa" w:w="2166"/>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ค่าสูงสุดของการเปลี่ยนแปลงสัมบูรณ์</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sz w:val="24"/>
                <w:lang w:val="th-TH" w:eastAsia="th-TH"/>
              </w:rPr>
              <w:t>alpha_0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0.25-2.00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226.04%</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sz w:val="24"/>
                <w:lang w:val="th-TH" w:eastAsia="th-TH"/>
              </w:rPr>
              <w:t>T_base</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0.5</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0.20-1.00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17.86%</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sz w:val="24"/>
                <w:lang w:val="th-TH" w:eastAsia="th-TH"/>
              </w:rPr>
              <w:t>T_range</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1.5</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0.50-2.50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2.21%</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sz w:val="24"/>
                <w:lang w:val="th-TH" w:eastAsia="th-TH"/>
              </w:rPr>
              <w:t>mu</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2.0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0.50-4.00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0.22%</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sz w:val="24"/>
                <w:lang w:val="th-TH" w:eastAsia="th-TH"/>
              </w:rPr>
              <w:t>kappa</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0.15</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0.00-0.30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0.16%</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sz w:val="24"/>
                <w:lang w:val="th-TH" w:eastAsia="th-TH"/>
              </w:rPr>
              <w:t>lambda_neg</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0.6</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0.30-1.00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w:t>
            </w:r>
          </w:p>
        </w:tc>
      </w:tr>
      <w:tr>
        <w:trPr>
          <w:cantSplit/>
        </w:trPr>
        <w:tc>
          <w:tcPr>
            <w:tcW w:type="dxa" w:w="2166"/>
            <w:vAlign w:val="center"/>
            <w:tcMar>
              <w:top w:w="80" w:type="dxa"/>
              <w:left w:w="80" w:type="dxa"/>
              <w:bottom w:w="80" w:type="dxa"/>
              <w:right w:w="80" w:type="dxa"/>
            </w:tcMar>
          </w:tcPr>
          <w:p>
            <w:pPr>
              <w:spacing w:after="0"/>
              <w:jc w:val="left"/>
            </w:pPr>
            <w:r/>
            <w:r>
              <w:rPr>
                <w:rFonts w:ascii="TH SarabunPSK" w:hAnsi="TH SarabunPSK" w:eastAsia="TH SarabunPSK" w:cs="TH SarabunPSK"/>
                <w:b w:val="0"/>
                <w:i/>
                <w:sz w:val="24"/>
                <w:lang w:val="th-TH" w:eastAsia="th-TH"/>
              </w:rPr>
              <w:t>m</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0.3</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0.10-0.50</w:t>
            </w:r>
          </w:p>
        </w:tc>
        <w:tc>
          <w:tcPr>
            <w:tcW w:type="dxa" w:w="2166"/>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0.00%</w:t>
            </w:r>
          </w:p>
        </w:tc>
      </w:tr>
      <w:tr>
        <w:trPr>
          <w:cantSplit/>
        </w:trPr>
        <w:tc>
          <w:tcPr>
            <w:tcW w:type="dxa" w:w="2166"/>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sz w:val="24"/>
                <w:lang w:val="th-TH" w:eastAsia="th-TH"/>
              </w:rPr>
              <w:t>beta</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0.00-1.00</w:t>
            </w:r>
          </w:p>
        </w:tc>
        <w:tc>
          <w:tcPr>
            <w:tcW w:type="dxa" w:w="2166"/>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w:t>
            </w:r>
          </w:p>
        </w:tc>
      </w:tr>
    </w:tbl>
    <w:p>
      <w:pPr>
        <w:spacing w:after="40"/>
      </w:pPr>
    </w:p>
    <w:p>
      <w:pPr>
        <w:widowControl/>
        <w:spacing w:line="240" w:lineRule="auto" w:after="80"/>
        <w:ind w:firstLine="709"/>
        <w:jc w:val="both"/>
      </w:pPr>
      <w:r>
        <w:rPr>
          <w:rFonts w:ascii="TH SarabunPSK" w:hAnsi="TH SarabunPSK" w:eastAsia="TH SarabunPSK" w:cs="TH SarabunPSK"/>
          <w:b w:val="0"/>
          <w:i/>
          <w:sz w:val="32"/>
          <w:lang w:val="th-TH" w:eastAsia="th-TH"/>
        </w:rPr>
        <w:t>alpha_0</w:t>
      </w:r>
      <w:r>
        <w:rPr>
          <w:rFonts w:ascii="TH SarabunPSK" w:hAnsi="TH SarabunPSK" w:eastAsia="TH SarabunPSK" w:cs="TH SarabunPSK"/>
          <w:b w:val="0"/>
          <w:i w:val="0"/>
          <w:sz w:val="32"/>
          <w:lang w:val="th-TH" w:eastAsia="th-TH"/>
        </w:rPr>
        <w:t xml:space="preserve"> มีผลต่อสเกลคะแนนโดยตรงและ </w:t>
      </w:r>
      <w:r>
        <w:rPr>
          <w:rFonts w:ascii="TH SarabunPSK" w:hAnsi="TH SarabunPSK" w:eastAsia="TH SarabunPSK" w:cs="TH SarabunPSK"/>
          <w:b w:val="0"/>
          <w:i/>
          <w:sz w:val="32"/>
          <w:lang w:val="th-TH" w:eastAsia="th-TH"/>
        </w:rPr>
        <w:t>T_base</w:t>
      </w:r>
      <w:r>
        <w:rPr>
          <w:rFonts w:ascii="TH SarabunPSK" w:hAnsi="TH SarabunPSK" w:eastAsia="TH SarabunPSK" w:cs="TH SarabunPSK"/>
          <w:b w:val="0"/>
          <w:i w:val="0"/>
          <w:sz w:val="32"/>
          <w:lang w:val="th-TH" w:eastAsia="th-TH"/>
        </w:rPr>
        <w:t xml:space="preserve"> มีผลต่อการกระจายคะแนนมากกว่าพารามิเตอร์อื่น จึงเป็นสองค่าที่ควรได้รับการยืนยันเพิ่มเติมด้วย parameter sweep แบบ retrieval end-to-end บนชุดฝึกก่อนกำหนดค่ารุ่นถัดไป ส่วนค่าที่ไม่เปลี่ยนในสถานการณ์จำลองไม่ควรถูกสรุปว่าไม่มีผลในระบบจริง เพราะ input ที่ใช้เป็นค่าคงที่และอาจไม่กระตุ้นเงื่อนไขของพารามิเตอร์นั้น โดยเฉพาะ </w:t>
      </w:r>
      <w:r>
        <w:rPr>
          <w:rFonts w:ascii="TH SarabunPSK" w:hAnsi="TH SarabunPSK" w:eastAsia="TH SarabunPSK" w:cs="TH SarabunPSK"/>
          <w:b w:val="0"/>
          <w:i/>
          <w:sz w:val="32"/>
          <w:lang w:val="th-TH" w:eastAsia="th-TH"/>
        </w:rPr>
        <w:t>lambda_neg</w:t>
      </w:r>
      <w:r>
        <w:rPr>
          <w:rFonts w:ascii="TH SarabunPSK" w:hAnsi="TH SarabunPSK" w:eastAsia="TH SarabunPSK" w:cs="TH SarabunPSK"/>
          <w:b w:val="0"/>
          <w:i w:val="0"/>
          <w:sz w:val="32"/>
          <w:lang w:val="th-TH" w:eastAsia="th-TH"/>
        </w:rPr>
        <w:t xml:space="preserve">, </w:t>
      </w:r>
      <w:r>
        <w:rPr>
          <w:rFonts w:ascii="TH SarabunPSK" w:hAnsi="TH SarabunPSK" w:eastAsia="TH SarabunPSK" w:cs="TH SarabunPSK"/>
          <w:b w:val="0"/>
          <w:i/>
          <w:sz w:val="32"/>
          <w:lang w:val="th-TH" w:eastAsia="th-TH"/>
        </w:rPr>
        <w:t>m</w:t>
      </w:r>
      <w:r>
        <w:rPr>
          <w:rFonts w:ascii="TH SarabunPSK" w:hAnsi="TH SarabunPSK" w:eastAsia="TH SarabunPSK" w:cs="TH SarabunPSK"/>
          <w:b w:val="0"/>
          <w:i w:val="0"/>
          <w:sz w:val="32"/>
          <w:lang w:val="th-TH" w:eastAsia="th-TH"/>
        </w:rPr>
        <w:t xml:space="preserve"> และ </w:t>
      </w:r>
      <w:r>
        <w:rPr>
          <w:rFonts w:ascii="TH SarabunPSK" w:hAnsi="TH SarabunPSK" w:eastAsia="TH SarabunPSK" w:cs="TH SarabunPSK"/>
          <w:b w:val="0"/>
          <w:i/>
          <w:sz w:val="32"/>
          <w:lang w:val="th-TH" w:eastAsia="th-TH"/>
        </w:rPr>
        <w:t>beta</w:t>
      </w:r>
    </w:p>
    <w:p>
      <w:pPr>
        <w:keepNext/>
        <w:widowControl/>
        <w:spacing w:before="240" w:after="80"/>
        <w:jc w:val="left"/>
      </w:pPr>
      <w:r>
        <w:rPr>
          <w:rFonts w:ascii="TH SarabunPSK" w:hAnsi="TH SarabunPSK" w:eastAsia="TH SarabunPSK" w:cs="TH SarabunPSK"/>
          <w:b/>
          <w:i w:val="0"/>
          <w:sz w:val="36"/>
          <w:lang w:val="th-TH" w:eastAsia="th-TH"/>
        </w:rPr>
        <w:t>4.6 การวิเคราะห์ผลรายกรณี</w:t>
      </w:r>
    </w:p>
    <w:p>
      <w:pPr>
        <w:widowControl/>
        <w:spacing w:line="240" w:lineRule="auto" w:after="80"/>
        <w:ind w:firstLine="709"/>
        <w:jc w:val="both"/>
      </w:pPr>
      <w:r>
        <w:rPr>
          <w:rFonts w:ascii="TH SarabunPSK" w:hAnsi="TH SarabunPSK" w:eastAsia="TH SarabunPSK" w:cs="TH SarabunPSK"/>
          <w:b w:val="0"/>
          <w:i w:val="0"/>
          <w:sz w:val="32"/>
          <w:lang w:val="th-TH" w:eastAsia="th-TH"/>
        </w:rPr>
        <w:t>การตรวจผลรายกรณีช่วยแยกข้อผิดพลาดของขั้นตรวจจับออกจากข้อผิดพลาดของขั้นจัดอันดับ ตารางที่ 4.10 แสดง 4 กรณีที่อ้างอิงจากผลรันจริง</w:t>
      </w:r>
    </w:p>
    <w:p>
      <w:pPr>
        <w:keepNext/>
        <w:spacing w:before="120" w:after="60"/>
        <w:jc w:val="center"/>
      </w:pPr>
      <w:r>
        <w:rPr>
          <w:rFonts w:ascii="TH SarabunPSK" w:hAnsi="TH SarabunPSK" w:eastAsia="TH SarabunPSK" w:cs="TH SarabunPSK"/>
          <w:b/>
          <w:i w:val="0"/>
          <w:sz w:val="32"/>
          <w:lang w:val="th-TH" w:eastAsia="th-TH"/>
        </w:rPr>
        <w:t>ตารางที่ 4.10 ตัวอย่างผลรายกรณีจากชุดทดสอบ</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tblGrid>
      <w:tr>
        <w:trPr>
          <w:tblHeader w:val="true"/>
          <w:cantSplit/>
        </w:trPr>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รหัสกรณี</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ผลการตรวจจับรหัส</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nDCG@10 Basic</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nDCG@10 H2L-hybrid</w:t>
            </w:r>
          </w:p>
        </w:tc>
        <w:tc>
          <w:tcPr>
            <w:tcW w:type="dxa" w:w="1733"/>
            <w:vAlign w:val="center"/>
            <w:shd w:fill="D9E2F3"/>
            <w:tcMar>
              <w:top w:w="80" w:type="dxa"/>
              <w:left w:w="80" w:type="dxa"/>
              <w:bottom w:w="80" w:type="dxa"/>
              <w:right w:w="80" w:type="dxa"/>
            </w:tcMar>
          </w:tcPr>
          <w:p>
            <w:pPr>
              <w:spacing w:after="0"/>
              <w:jc w:val="center"/>
            </w:pPr>
            <w:r/>
            <w:r>
              <w:rPr>
                <w:rFonts w:ascii="TH SarabunPSK" w:hAnsi="TH SarabunPSK" w:eastAsia="TH SarabunPSK" w:cs="TH SarabunPSK"/>
                <w:b/>
                <w:i w:val="0"/>
                <w:sz w:val="24"/>
                <w:lang w:val="th-TH" w:eastAsia="th-TH"/>
              </w:rPr>
              <w:t>ข้อสังเกต</w:t>
            </w:r>
          </w:p>
        </w:tc>
      </w:tr>
      <w:tr>
        <w:trPr>
          <w:cantSplit/>
        </w:trPr>
        <w:tc>
          <w:tcPr>
            <w:tcW w:type="dxa" w:w="173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CHILD_004_PAR_01</w:t>
            </w:r>
          </w:p>
        </w:tc>
        <w:tc>
          <w:tcPr>
            <w:tcW w:type="dxa" w:w="1733"/>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F1 = 0.3333</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0.4209</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0.9066</w:t>
            </w:r>
          </w:p>
        </w:tc>
        <w:tc>
          <w:tcPr>
            <w:tcW w:type="dxa" w:w="1733"/>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ranking ดีขึ้นมากแม้รหัสที่ตรวจพบตรงเพียงบางส่วน</w:t>
            </w:r>
          </w:p>
        </w:tc>
      </w:tr>
      <w:tr>
        <w:trPr>
          <w:cantSplit/>
        </w:trPr>
        <w:tc>
          <w:tcPr>
            <w:tcW w:type="dxa" w:w="173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SHORT_HOMELESS_01</w:t>
            </w:r>
          </w:p>
        </w:tc>
        <w:tc>
          <w:tcPr>
            <w:tcW w:type="dxa" w:w="1733"/>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F1 = 1.0000</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0.3142</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i w:val="0"/>
                <w:sz w:val="24"/>
                <w:lang w:val="th-TH" w:eastAsia="th-TH"/>
              </w:rPr>
              <w:t>0.4320</w:t>
            </w:r>
          </w:p>
        </w:tc>
        <w:tc>
          <w:tcPr>
            <w:tcW w:type="dxa" w:w="1733"/>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ตรวจรหัส 0801 และ 1601 ได้ครบ และ ranking ดีขึ้น</w:t>
            </w:r>
          </w:p>
        </w:tc>
      </w:tr>
      <w:tr>
        <w:trPr>
          <w:cantSplit/>
        </w:trPr>
        <w:tc>
          <w:tcPr>
            <w:tcW w:type="dxa" w:w="1733"/>
            <w:vAlign w:val="center"/>
            <w:tcMar>
              <w:top w:w="80" w:type="dxa"/>
              <w:left w:w="80" w:type="dxa"/>
              <w:bottom w:w="80" w:type="dxa"/>
              <w:right w:w="80" w:type="dxa"/>
            </w:tcMar>
          </w:tcPr>
          <w:p>
            <w:pPr>
              <w:spacing w:after="0"/>
              <w:jc w:val="left"/>
            </w:pPr>
            <w:r/>
            <w:r>
              <w:rPr>
                <w:rFonts w:ascii="TH SarabunPSK" w:hAnsi="TH SarabunPSK" w:eastAsia="TH SarabunPSK" w:cs="TH SarabunPSK"/>
                <w:b w:val="0"/>
                <w:i w:val="0"/>
                <w:sz w:val="24"/>
                <w:lang w:val="th-TH" w:eastAsia="th-TH"/>
              </w:rPr>
              <w:t>TINY_ABUSE_01</w:t>
            </w:r>
          </w:p>
        </w:tc>
        <w:tc>
          <w:tcPr>
            <w:tcW w:type="dxa" w:w="1733"/>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F1 = 1.0000</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i w:val="0"/>
                <w:sz w:val="24"/>
                <w:lang w:val="th-TH" w:eastAsia="th-TH"/>
              </w:rPr>
              <w:t>0.8772</w:t>
            </w:r>
          </w:p>
        </w:tc>
        <w:tc>
          <w:tcPr>
            <w:tcW w:type="dxa" w:w="1733"/>
            <w:vAlign w:val="center"/>
            <w:tcMar>
              <w:top w:w="80" w:type="dxa"/>
              <w:left w:w="80" w:type="dxa"/>
              <w:bottom w:w="80" w:type="dxa"/>
              <w:right w:w="80" w:type="dxa"/>
            </w:tcMar>
          </w:tcPr>
          <w:p>
            <w:pPr>
              <w:spacing w:after="0"/>
              <w:jc w:val="right"/>
            </w:pPr>
            <w:r/>
            <w:r>
              <w:rPr>
                <w:rFonts w:ascii="TH SarabunPSK" w:hAnsi="TH SarabunPSK" w:eastAsia="TH SarabunPSK" w:cs="TH SarabunPSK"/>
                <w:b w:val="0"/>
                <w:i w:val="0"/>
                <w:sz w:val="24"/>
                <w:lang w:val="th-TH" w:eastAsia="th-TH"/>
              </w:rPr>
              <w:t>0.5013</w:t>
            </w:r>
          </w:p>
        </w:tc>
        <w:tc>
          <w:tcPr>
            <w:tcW w:type="dxa" w:w="1733"/>
            <w:vAlign w:val="center"/>
            <w:tcMar>
              <w:top w:w="80" w:type="dxa"/>
              <w:left w:w="80" w:type="dxa"/>
              <w:bottom w:w="80" w:type="dxa"/>
              <w:right w:w="80" w:type="dxa"/>
            </w:tcMar>
          </w:tcPr>
          <w:p>
            <w:pPr>
              <w:spacing w:after="0"/>
              <w:jc w:val="center"/>
            </w:pPr>
            <w:r/>
            <w:r>
              <w:rPr>
                <w:rFonts w:ascii="TH SarabunPSK" w:hAnsi="TH SarabunPSK" w:eastAsia="TH SarabunPSK" w:cs="TH SarabunPSK"/>
                <w:b w:val="0"/>
                <w:i w:val="0"/>
                <w:sz w:val="24"/>
                <w:lang w:val="th-TH" w:eastAsia="th-TH"/>
              </w:rPr>
              <w:t>ตรวจรหัสถูกครบ แต่ H2L ทำให้ลำดับเอกสารลดลง</w:t>
            </w:r>
          </w:p>
        </w:tc>
      </w:tr>
      <w:tr>
        <w:trPr>
          <w:cantSplit/>
        </w:trPr>
        <w:tc>
          <w:tcPr>
            <w:tcW w:type="dxa" w:w="1733"/>
            <w:vAlign w:val="center"/>
            <w:tcMar>
              <w:top w:w="80" w:type="dxa"/>
              <w:left w:w="80" w:type="dxa"/>
              <w:bottom w:w="80" w:type="dxa"/>
              <w:right w:w="80" w:type="dxa"/>
            </w:tcMar>
            <w:shd w:fill="F5F7FA"/>
          </w:tcPr>
          <w:p>
            <w:pPr>
              <w:spacing w:after="0"/>
              <w:jc w:val="left"/>
            </w:pPr>
            <w:r/>
            <w:r>
              <w:rPr>
                <w:rFonts w:ascii="TH SarabunPSK" w:hAnsi="TH SarabunPSK" w:eastAsia="TH SarabunPSK" w:cs="TH SarabunPSK"/>
                <w:b w:val="0"/>
                <w:i w:val="0"/>
                <w:sz w:val="24"/>
                <w:lang w:val="th-TH" w:eastAsia="th-TH"/>
              </w:rPr>
              <w:t>BEDRIDDEN_008</w:t>
            </w:r>
          </w:p>
        </w:tc>
        <w:tc>
          <w:tcPr>
            <w:tcW w:type="dxa" w:w="1733"/>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F1 = 0.0000</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0.0000</w:t>
            </w:r>
          </w:p>
        </w:tc>
        <w:tc>
          <w:tcPr>
            <w:tcW w:type="dxa" w:w="1733"/>
            <w:vAlign w:val="center"/>
            <w:tcMar>
              <w:top w:w="80" w:type="dxa"/>
              <w:left w:w="80" w:type="dxa"/>
              <w:bottom w:w="80" w:type="dxa"/>
              <w:right w:w="80" w:type="dxa"/>
            </w:tcMar>
            <w:shd w:fill="F5F7FA"/>
          </w:tcPr>
          <w:p>
            <w:pPr>
              <w:spacing w:after="0"/>
              <w:jc w:val="right"/>
            </w:pPr>
            <w:r/>
            <w:r>
              <w:rPr>
                <w:rFonts w:ascii="TH SarabunPSK" w:hAnsi="TH SarabunPSK" w:eastAsia="TH SarabunPSK" w:cs="TH SarabunPSK"/>
                <w:b w:val="0"/>
                <w:i w:val="0"/>
                <w:sz w:val="24"/>
                <w:lang w:val="th-TH" w:eastAsia="th-TH"/>
              </w:rPr>
              <w:t>0.0000</w:t>
            </w:r>
          </w:p>
        </w:tc>
        <w:tc>
          <w:tcPr>
            <w:tcW w:type="dxa" w:w="1733"/>
            <w:vAlign w:val="center"/>
            <w:tcMar>
              <w:top w:w="80" w:type="dxa"/>
              <w:left w:w="80" w:type="dxa"/>
              <w:bottom w:w="80" w:type="dxa"/>
              <w:right w:w="80" w:type="dxa"/>
            </w:tcMar>
            <w:shd w:fill="F5F7FA"/>
          </w:tcPr>
          <w:p>
            <w:pPr>
              <w:spacing w:after="0"/>
              <w:jc w:val="center"/>
            </w:pPr>
            <w:r/>
            <w:r>
              <w:rPr>
                <w:rFonts w:ascii="TH SarabunPSK" w:hAnsi="TH SarabunPSK" w:eastAsia="TH SarabunPSK" w:cs="TH SarabunPSK"/>
                <w:b w:val="0"/>
                <w:i w:val="0"/>
                <w:sz w:val="24"/>
                <w:lang w:val="th-TH" w:eastAsia="th-TH"/>
              </w:rPr>
              <w:t>ตรวจรหัสไม่ตรงและไม่พบเอกสารเกี่ยวข้องในลำดับที่ประเมิน</w:t>
            </w:r>
          </w:p>
        </w:tc>
      </w:tr>
    </w:tbl>
    <w:p>
      <w:pPr>
        <w:spacing w:after="40"/>
      </w:pPr>
    </w:p>
    <w:p>
      <w:pPr>
        <w:widowControl/>
        <w:spacing w:line="240" w:lineRule="auto" w:after="80"/>
        <w:ind w:firstLine="709"/>
        <w:jc w:val="both"/>
      </w:pPr>
      <w:r>
        <w:rPr>
          <w:rFonts w:ascii="TH SarabunPSK" w:hAnsi="TH SarabunPSK" w:eastAsia="TH SarabunPSK" w:cs="TH SarabunPSK"/>
          <w:b w:val="0"/>
          <w:i w:val="0"/>
          <w:sz w:val="32"/>
          <w:lang w:val="th-TH" w:eastAsia="th-TH"/>
        </w:rPr>
        <w:t>กรณี CHILD_004_PAR_01 มีรหัสคาดหวัง T74.1, 0201 และ 1601 แต่ Qwen ตรวจพบ 1601, 0206 และ T74 แม้ detector F1 ต่ำ ระบบ H2L-hybrid ยังจัดเอกสารที่กฎประเมินว่าเกี่ยวข้องขึ้นมาได้ดี กรณีนี้สะท้อนว่าตัวชี้วัด retrieval อาจให้ผลสูงแม้การจับคู่รหัสไม่สมบูรณ์ จึงต้องรายงานตัวชี้วัด detector และ retrieval แยกกัน</w:t>
      </w:r>
    </w:p>
    <w:p>
      <w:pPr>
        <w:widowControl/>
        <w:spacing w:line="240" w:lineRule="auto" w:after="80"/>
        <w:ind w:firstLine="709"/>
        <w:jc w:val="both"/>
      </w:pPr>
      <w:r>
        <w:rPr>
          <w:rFonts w:ascii="TH SarabunPSK" w:hAnsi="TH SarabunPSK" w:eastAsia="TH SarabunPSK" w:cs="TH SarabunPSK"/>
          <w:b w:val="0"/>
          <w:i w:val="0"/>
          <w:sz w:val="32"/>
          <w:lang w:val="th-TH" w:eastAsia="th-TH"/>
        </w:rPr>
        <w:t>ในทางกลับกัน TINY_ABUSE_01 ตรวจพบ T74 และ T74.1 ได้ครบ แต่ nDCG@10 ของ H2L-hybrid ต่ำกว่า basic hybrid 0.3759 แสดงว่าการตรวจจับถูกต้องไม่ได้รับประกันว่าการปรับคะแนน H2L จะจัดอันดับดีกว่าเสมอ ส่วน BEDRIDDEN_008 มีรหัสคาดหวัง R54 และ 0701 แต่ตรวจพบ 0206, C50 และ 1705 ทำให้ F1 เท่ากับศูนย์และ retrieval ไม่พบเอกสารที่ถูกตัดสินว่าเกี่ยวข้อง กรณีดังกล่าวชี้ว่าข้อผิดพลาดต้นน้ำสามารถส่งต่อไปยังขั้นค้นคืนได้โดยตรง</w:t>
      </w:r>
    </w:p>
    <w:p>
      <w:pPr>
        <w:keepNext/>
        <w:widowControl/>
        <w:spacing w:before="240" w:after="80"/>
        <w:jc w:val="left"/>
      </w:pPr>
      <w:r>
        <w:rPr>
          <w:rFonts w:ascii="TH SarabunPSK" w:hAnsi="TH SarabunPSK" w:eastAsia="TH SarabunPSK" w:cs="TH SarabunPSK"/>
          <w:b/>
          <w:i w:val="0"/>
          <w:sz w:val="36"/>
          <w:lang w:val="th-TH" w:eastAsia="th-TH"/>
        </w:rPr>
        <w:t>4.7 สถานะการประเมินโดยผู้เชี่ยวชาญ</w:t>
      </w:r>
    </w:p>
    <w:p>
      <w:pPr>
        <w:widowControl/>
        <w:spacing w:line="240" w:lineRule="auto" w:after="80"/>
        <w:ind w:firstLine="709"/>
        <w:jc w:val="both"/>
      </w:pPr>
      <w:r>
        <w:rPr>
          <w:rFonts w:ascii="TH SarabunPSK" w:hAnsi="TH SarabunPSK" w:eastAsia="TH SarabunPSK" w:cs="TH SarabunPSK"/>
          <w:b w:val="0"/>
          <w:i w:val="0"/>
          <w:sz w:val="32"/>
          <w:lang w:val="th-TH" w:eastAsia="th-TH"/>
        </w:rPr>
        <w:t>โครงการมี blind evaluation packet และแบบฟอร์มสำหรับผู้ประเมินแล้ว แต่ไฟล์แบบฟอร์มปัจจุบันยังไม่มี evaluator ID และไม่มีคะแนนที่กรอกจริง รายงาน agreement ที่พบในโครงการสร้างจากโหมด dry-run ด้วยข้อมูลสังเคราะห์ จึงไม่นำมาใช้เป็นผลการวิจัย บทนี้จึงยังไม่รายงาน clinical usefulness, human relevance หรือ inter-rater agreement และไม่อ้างว่าระบบผ่านการรับรองโดยผู้เชี่ยวชาญ</w:t>
      </w:r>
    </w:p>
    <w:p>
      <w:pPr>
        <w:keepNext/>
        <w:widowControl/>
        <w:spacing w:before="240" w:after="80"/>
        <w:jc w:val="left"/>
      </w:pPr>
      <w:r>
        <w:rPr>
          <w:rFonts w:ascii="TH SarabunPSK" w:hAnsi="TH SarabunPSK" w:eastAsia="TH SarabunPSK" w:cs="TH SarabunPSK"/>
          <w:b/>
          <w:i w:val="0"/>
          <w:sz w:val="36"/>
          <w:lang w:val="th-TH" w:eastAsia="th-TH"/>
        </w:rPr>
        <w:t>4.8 สรุปบท</w:t>
      </w:r>
    </w:p>
    <w:p>
      <w:pPr>
        <w:widowControl/>
        <w:spacing w:line="240" w:lineRule="auto" w:after="80"/>
        <w:ind w:firstLine="709"/>
        <w:jc w:val="both"/>
      </w:pPr>
      <w:r>
        <w:rPr>
          <w:rFonts w:ascii="TH SarabunPSK" w:hAnsi="TH SarabunPSK" w:eastAsia="TH SarabunPSK" w:cs="TH SarabunPSK"/>
          <w:b w:val="0"/>
          <w:i w:val="0"/>
          <w:sz w:val="32"/>
          <w:lang w:val="th-TH" w:eastAsia="th-TH"/>
        </w:rPr>
        <w:t>ผลการทดลองหลักบนชุดทดสอบ 76 กรณีพบว่า H2L-hybrid ให้ค่าเฉลี่ยสูงสุดในตัวชี้วัดการค้นคืนส่วนใหญ่ ได้แก่ nDCG@5 = 0.2975, nDCG@10 = 0.3285, MAP = 0.2933, MRR = 0.3351 และ R@10 = 0.3943 เมื่อใช้ Wilcoxon signed-rank และปรับ Holm แยกตาม cutoff ระบบสูงกว่าอย่างมีนัยสำคัญ 4 จาก 7 คู่ที่ลำดับ 5 และครบ 7 คู่ที่ลำดับ 10 ผลนี้สนับสนุนว่าประโยชน์ของ H2L ปรากฏชัดขึ้นเมื่อพิจารณาเอกสาร 10 อันดับแรก แต่ไม่หมายความว่าระบบดีขึ้นในทุกกรณี</w:t>
      </w:r>
    </w:p>
    <w:p>
      <w:pPr>
        <w:widowControl/>
        <w:spacing w:line="240" w:lineRule="auto" w:after="80"/>
        <w:ind w:firstLine="709"/>
        <w:jc w:val="both"/>
      </w:pPr>
      <w:r>
        <w:rPr>
          <w:rFonts w:ascii="TH SarabunPSK" w:hAnsi="TH SarabunPSK" w:eastAsia="TH SarabunPSK" w:cs="TH SarabunPSK"/>
          <w:b w:val="0"/>
          <w:i w:val="0"/>
          <w:sz w:val="32"/>
          <w:lang w:val="th-TH" w:eastAsia="th-TH"/>
        </w:rPr>
        <w:t>Contextual Polarity Gate ให้ accuracy 0.8947 และตรวจพบกรณีปฏิเสธ 13 จาก 18 กรณี แต่ประสิทธิภาพลดลงในข้อความยาว การเปรียบเทียบ L2 แสดงว่าทั้งสามแบบจำลองมีคุณภาพ detector ใกล้เคียงกัน โดย Qwen ให้ retrieval สูงกว่าเล็กน้อย Typhoon 2 ไม่เกิด degraded call และ Typhoon-Gemma3 เร็วที่สุด การทดลอง ablation ไม่พบองค์ประกอบย่อยที่แตกต่างอย่างมีนัยสำคัญ และการประเมินผู้เชี่ยวชาญยังไม่มีข้อมูลจริง ดังนั้นงานวิจัยนี้ได้ผลในระดับระบบต้นแบบและหลักฐานเชิงเปรียบเทียบว่า H2L ช่วยปรับคุณภาพการจัดอันดับ โดยเฉพาะที่ลำดับ 10 แต่ยังไม่เพียงพอสำหรับยืนยันประสิทธิผลทางคลินิกหรือความพร้อมใช้งานจริง</w:t>
      </w:r>
    </w:p>
    <w:sectPr w:rsidR="00FC693F" w:rsidRPr="0006063C" w:rsidSect="00034616">
      <w:footerReference w:type="default" r:id="rId9"/>
      <w:pgSz w:w="11906" w:h="16838"/>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H SarabunPSK" w:hAnsi="TH SarabunPSK" w:eastAsia="TH SarabunPSK" w:cs="TH SarabunPSK"/>
        <w:sz w:val="24"/>
        <w:lang w:val="th-TH" w:eastAsia="th-TH"/>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PSK" w:hAnsi="TH SarabunPSK" w:eastAsia="TH SarabunPSK" w:cs="TH SarabunPSK"/>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