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100 กรณีศึกษา (100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รวมเคสปกติและเคสประเมินปัญหาแอบแฝง (Implicit Reasoning) สามารถตอบคำถามวิจัยได้ดังนี้: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100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at Top-10 (MAP@10): `0.3638`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0.3061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0.1971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at Top-10 (MRR@10): `0.4253`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0.3310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0.2258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Top-10 (nDCG@10): `0.3956`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Courier New" w:hAnsi="Courier New"/>
          <w:color w:val="B42828"/>
          <w:sz w:val="30"/>
        </w:rPr>
        <w:t>0.3161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Courier New" w:hAnsi="Courier New"/>
          <w:color w:val="B42828"/>
          <w:sz w:val="30"/>
        </w:rPr>
        <w:t>0.2281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 ยืนยันว่า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Basic Vector Search และ Naive RAG อย่างชัดเจน (เพิ่มขึ้น +25.1% บน Dense Retrieval) แสดงให้เห็นว่าการเสริมสมการ H2L เข้าไปช่วยเสริมความแม่นยำในการจัดอันดับเอกสารสำคัญไว้บนสุดได้อย่างสมบูรณ์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Courier New" w:hAnsi="Courier New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Courier New" w:hAnsi="Courier New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filtered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100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82828"/>
                <w:sz w:val="22"/>
              </w:rPr>
              <w:t>+---------------------------------------------------------------------------------------------------+</w:t>
              <w:br/>
              <w:t>| SUMMARY OF CASE-BASED EMPIRICAL EVIDENCE (100-CASE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Courier New" w:hAnsi="Courier New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Courier New" w:hAnsi="Courier New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['I64', 'E11.5']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 w:line="276" w:lineRule="auto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Courier New" w:hAnsi="Courier New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Courier New" w:hAnsi="Courier New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Courier New" w:hAnsi="Courier New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100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100 กรณีศึกษา แล้วว่า สามารถยกระดับประสิทธิภาพการค้นคืนเอกสาร (MAP = 0.2472, nDCG@10 = 0.2763)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