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7,695 หน่วยการทดลอง (7,695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8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36 กรณีศึกษา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39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**7,695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การประเมินทำบนชุดทดสอบความขัดแย้งเชิงบริบทจำนวน 68 กรณีศึกษา (แบ่งเป็น Positive Cases 50 กรณีศึกษา และ Negated Cases 18 กรณีศึกษา)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68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50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**88.24%** (0.8824)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**6.00%** (3/50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81.25% (0.8125)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76.47% (0.7647)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**0.9760**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(&lt; 100 ตัวอักษร)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(5/5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(4/8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0.2583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0.0858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0.0674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0.0274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 (Pairwise Comparison)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ผลต่าง ($\Delta$)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$p$-value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$p$-value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ข้อสรุปเชิงวิชาการ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**&lt; 0.0001**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**&lt; 0.0001**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`Supported` ($p &lt; 0.001$)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**&lt; 0.0001**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**&lt; 0.0001**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`Supported` ($p &lt; 0.001$)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**+0.0264**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**0.0004**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`Supported` ($p &lt; 0.01$)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**+0.0169**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**0.0028**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**0.0084**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`Supported`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**0.0124**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`Supported` ($p &lt; 0.05$)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การขยายชุดทดสอบเป็น 95 กรณีศึกษา ยืนยันว่า ความได้เปรียบของสถาปัตยกรรม </w:t>
      </w:r>
      <w:r>
        <w:rPr>
          <w:rFonts w:ascii="TH Sarabun PSK" w:hAnsi="TH Sarabun PSK"/>
          <w:b/>
          <w:color w:val="000000"/>
          <w:sz w:val="32"/>
        </w:rPr>
        <w:t>`h2l-hybrid`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Baseline ทุกรูปแบบบรรลุระดับ </w:t>
      </w:r>
      <w:r>
        <w:rPr>
          <w:rFonts w:ascii="TH Sarabun PSK" w:hAnsi="TH Sarabun PSK"/>
          <w:b/>
          <w:color w:val="000000"/>
          <w:sz w:val="32"/>
        </w:rPr>
        <w:t>`Supported` ($p &lt; 0.05$) อย่างแท้จริง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โดยมีนัยสำคัญทางสถิติสูงที่สุดเมื่อเปรียบเทียบกับ Naive RAG ($p &lt; 0.0001$)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(4 จาก 260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0.3815 - 0.3823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ได้ใกล้เคียงกันอย่างยิ่ง แสดงว่าสถาปัตยกรรม H2L มีความคงเส้นคงวาและไม่ผูกติดกับโมเดลตระกูลใดตระกูลหนึ่ง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มีความเร็วในการตอบสนอง (Median Latency = 19.60s) สูงกว่า Typhoon 8B (27.01s) ถึง ~27% 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Functions เพื่อดูขนาดอิทธิพล (Effect Size: Cohen's $d$) ต่อคะแนนระบบ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 Mean Score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$p$-value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 (Effect Size)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H2L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**0.3410**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**0.3453**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**1.8947**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Mode (แทน Weighted-Sum)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0.3283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**0.932**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**Large Effect** (Scale Shift)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1.1377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**0.409**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**Small Effect**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1.4929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1.5273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2.0146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-0.048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8 ตัว พบว่า </w:t>
      </w:r>
      <w:r>
        <w:rPr>
          <w:rFonts w:ascii="TH Sarabun PSK" w:hAnsi="TH Sarabun PSK"/>
          <w:b/>
          <w:color w:val="000000"/>
          <w:sz w:val="32"/>
        </w:rPr>
        <w:t>6 จาก 8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m, \beta,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30-50\%$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4.7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ผลการทดสอบความทนทานบน Adversarial Stress-Test Slice (n=20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0.1150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0.1380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0.1480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0.1520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0.1760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0.1650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0.1680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0.1920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0.0750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**0.1985**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**0.2015**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**0.2280**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**0.0900**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ยังคงทำคะแนน nDCG@5 = </w:t>
      </w:r>
      <w:r>
        <w:rPr>
          <w:rFonts w:ascii="TH Sarabun PSK" w:hAnsi="TH Sarabun PSK"/>
          <w:b/>
          <w:color w:val="000000"/>
          <w:sz w:val="32"/>
        </w:rPr>
        <w:t>0.2015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(0.1150) ถึง </w:t>
      </w:r>
      <w:r>
        <w:rPr>
          <w:rFonts w:ascii="TH Sarabun PSK" w:hAnsi="TH Sarabun PSK"/>
          <w:b/>
          <w:color w:val="000000"/>
          <w:sz w:val="32"/>
        </w:rPr>
        <w:t>+75.2%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แสดงให้เห็นว่าสถาปัตยกรรม H2L มีความทนทานสูงเมื่อเผชิญกับข้อความลวงและโครงสร้างภาษาที่สับสน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 nDCG@10 จำแนกตามระดับความซับซ้อนของเคส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n=45)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n=30)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n=20)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0.1760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0.2857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0.1920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**0.2972**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**0.3131**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**0.2280**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ในเคสซับซ้อนปานกลางและสูง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แสดงข้อได้เปรียบชัดเจนที่สุด โดยทำ nDCG@10 สูงถึง </w:t>
      </w:r>
      <w:r>
        <w:rPr>
          <w:rFonts w:ascii="TH Sarabun PSK" w:hAnsi="TH Sarabun PSK"/>
          <w:b/>
          <w:color w:val="000000"/>
          <w:sz w:val="32"/>
        </w:rPr>
        <w:t>0.3131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 Moderate (สูงกว่า Basic 0.2857) และ </w:t>
      </w:r>
      <w:r>
        <w:rPr>
          <w:rFonts w:ascii="TH Sarabun PSK" w:hAnsi="TH Sarabun PSK"/>
          <w:b/>
          <w:color w:val="000000"/>
          <w:sz w:val="32"/>
        </w:rPr>
        <w:t>0.2280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 Complex (สูงกว่า Basic 0.1920) เนื่องจากกลไก H2L สามารถแยกแยะหมวดหมู่ปัญหาซ้อนทับกันได้อย่างแม่นยำ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