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36" w:lineRule="auto"/>
        <w:jc w:val="center"/>
      </w:pPr>
      <w:r>
        <w:rPr>
          <w:rFonts w:ascii="TH SarabunPSK" w:hAnsi="TH SarabunPSK" w:cs="TH SarabunPSK"/>
          <w:b/>
          <w:sz w:val="36"/>
        </w:rPr>
        <w:t>ภาคผนวก: เนื้อหาเพิ่มเติมสำหรับปรับปรุงวิทยานิพนธ์</w:t>
      </w:r>
    </w:p>
    <w:p>
      <w:pPr>
        <w:spacing w:before="0" w:after="200" w:line="336" w:lineRule="auto"/>
        <w:jc w:val="center"/>
      </w:pPr>
      <w:r>
        <w:rPr>
          <w:rFonts w:ascii="TH SarabunPSK" w:hAnsi="TH SarabunPSK" w:cs="TH SarabunPSK"/>
          <w:b w:val="0"/>
          <w:sz w:val="28"/>
        </w:rPr>
        <w:t>(บทที่ 3 และบทที่ 4 — ชุดทดสอบ n=76, ผลรัน 2026-07-19)</w:t>
      </w:r>
    </w:p>
    <w:p>
      <w:pPr>
        <w:spacing w:before="240" w:after="120" w:line="336" w:lineRule="auto"/>
        <w:jc w:val="left"/>
      </w:pPr>
      <w:r>
        <w:rPr>
          <w:rFonts w:ascii="TH SarabunPSK" w:hAnsi="TH SarabunPSK" w:cs="TH SarabunPSK"/>
          <w:b/>
          <w:sz w:val="34"/>
        </w:rPr>
        <w:t>ส่วนเพิ่มเติมในหัวข้อ 3.9.1: การเพิ่มเคสทดสอบข้อความสั้น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เพื่อให้ชุดทดสอบครอบคลุมสถานการณ์จริงที่นักสังคมสงเคราะห์มักบันทึกข้อมูลอย่างสั้นในช่วงแรกรับเคส และเพื่อทดสอบกลไก Length Gate (G_len) โดยตรง ผู้วิจัยได้เพิ่มเคสทดสอบสองประเภทเข้าสู่ชุดทดสอบ รวมทั้งสิ้น 8 เคส ทำให้ชุดทดสอบเพิ่มจาก 68 เป็น 76 เคส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ประเภทที่หนึ่ง เคสสั้นที่มีหลักฐาน (Short-but-Evidenced Cases) จำนวน 5 เคส เป็นข้อความความยาวประมาณ 61–72 ตัวอักษร ที่แม้จะสั้นแต่ยังคงมีคำสำคัญของปัญหาหลักครบถ้วน เช่น "ผู้ป่วยหญิงอายุ 78 ปี เป็นโรคหลอดเลือดสมอง ติดเตียง มีแผลเบาหวานที่เท้า" รหัสปัญหาที่คาดหวัง ได้แก่ I64 [ICD] และ E11.5 [ICD] เคสประเภทนี้ทดสอบว่าระบบสามารถตรวจจับปัญหาได้ถูกต้องเมื่อข้อความสั้นแต่มีหลักฐานเพียงพอ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ประเภทที่สอง เคสสั้นมาก (Minimal Cases) จำนวน 3 เคส เป็นข้อความความยาวน้อยกว่า 22 ตัวอักษร ที่ออกแบบมาเพื่อกระตุ้นการทำงานของ Length Gate โดยตรง เนื่องจากฟังก์ชัน G_len จะลดทอนคะแนนเฉพาะข้อความที่สั้นกว่าประมาณ 22 ตัวอักษรเท่านั้น ตัวอย่างเช่น ข้อความ "เป็นโรคจิตเภท" (13 ตัวอักษร) ได้ค่า G_len ≈ 0.86 และ "ถูกทำร้ายร่างกาย" (16 ตัวอักษร) ได้ค่า G_len ≈ 0.92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เคสทดสอบทั้ง 8 เคสได้รับการตรวจสอบ (1) ด้านความสมเหตุสมผลเชิงความหมายของรหัสปัญหาที่คาดหวัง โดยแต่ละรหัสถูกจำแนกประเภทเป็น [ICD] (รหัส ICD-10 ทางการแพทย์) หรือ [SOCIAL] (รหัสปัญหาสังคม 4 หลัก) และ (2) ด้านความสอดคล้องกับตัวตรวจจับจริงของระบบ (H2L Detector) โดยยืนยันว่าระบบสามารถตรวจจับรหัสปัญหาที่คาดหวังได้ครบถ้วน (MISS = 0)</w:t>
      </w:r>
    </w:p>
    <w:p>
      <w:pPr>
        <w:spacing w:before="240" w:after="120" w:line="336" w:lineRule="auto"/>
        <w:jc w:val="left"/>
      </w:pPr>
      <w:r>
        <w:rPr>
          <w:rFonts w:ascii="TH SarabunPSK" w:hAnsi="TH SarabunPSK" w:cs="TH SarabunPSK"/>
          <w:b/>
          <w:sz w:val="34"/>
        </w:rPr>
        <w:t>ส่วนปรับปรุงในบทที่ 4: ผลการเปรียบเทียบกลยุทธ์ (ชุดทดสอบ 76 เคส)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ตารางที่ XX แสดงผลการเปรียบเทียบประสิทธิภาพของกลยุทธ์การค้นคืนทั้ง 8 กลยุทธ์บนชุดทดสอบจำนวน 76 เคส วัดด้วยตัวชี้วัดเชิงอันดับมาตรฐาน (ค่าที่แสดงเป็นค่าเฉลี่ยข้ามทุกเคส)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กลยุทธ์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MAP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MRR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P@5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R@5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nDCG@5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nDCG@10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BM25 Only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0.2731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0.3334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0.1316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0.2682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0.2611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0.2861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Naive RAG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0.2316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0.2984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0.1237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0.2590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0.2392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0.2623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HyDE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0.1553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0.1890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0.0500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0.1590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0.1575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0.1826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Basic (Hybrid)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0.2782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0.3208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0.1500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0.3138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0.2807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0.3031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H2L-BM25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0.2668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0.3141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0.1447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0.2985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0.2813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0.3018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H2L-Naive RAG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0.2345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0.3124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0.1211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0.2529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0.2390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0.2720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H2L-HyDE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0.1500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0.1664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0.0632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0.1925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0.1577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0.1694</w:t>
            </w:r>
          </w:p>
        </w:tc>
      </w:tr>
      <w:tr>
        <w:tc>
          <w:tcPr>
            <w:tcW w:type="dxa" w:w="1234"/>
            <w:shd w:val="clear" w:color="auto" w:fill="E2EFDA"/>
          </w:tcPr>
          <w:p>
            <w:pPr>
              <w:jc w:val="left"/>
            </w:pPr>
            <w:r>
              <w:rPr>
                <w:rFonts w:ascii="TH SarabunPSK" w:hAnsi="TH SarabunPSK" w:cs="TH SarabunPSK"/>
                <w:b/>
                <w:sz w:val="26"/>
              </w:rPr>
              <w:t>H2L-Hybrid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0.2933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0.3351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0.1500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0.3215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0.2975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0.3285</w:t>
            </w:r>
          </w:p>
        </w:tc>
      </w:tr>
    </w:tbl>
    <w:p>
      <w:pPr>
        <w:spacing w:before="0" w:after="80" w:line="336" w:lineRule="auto"/>
        <w:jc w:val="both"/>
      </w:pPr>
      <w:r>
        <w:rPr>
          <w:rFonts w:ascii="TH SarabunPSK" w:hAnsi="TH SarabunPSK" w:cs="TH SarabunPSK"/>
          <w:b w:val="0"/>
          <w:sz w:val="32"/>
        </w:rPr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H2L-Hybrid ให้ผลดีที่สุดในทุกตัวชี้วัด (สูงสุดใน MAP, MRR, R@5, nDCG@5 และ nDCG@10 และเสมอกับ Basic ใน P@5) โดยได้ค่า nDCG@10 = 0.3285 สูงกว่า Basic (0.3031) และ BM25 Only (0.2861)</w:t>
      </w:r>
    </w:p>
    <w:p>
      <w:r>
        <w:br w:type="page"/>
      </w:r>
    </w:p>
    <w:p>
      <w:pPr>
        <w:spacing w:before="240" w:after="120" w:line="336" w:lineRule="auto"/>
        <w:jc w:val="left"/>
      </w:pPr>
      <w:r>
        <w:rPr>
          <w:rFonts w:ascii="TH SarabunPSK" w:hAnsi="TH SarabunPSK" w:cs="TH SarabunPSK"/>
          <w:b/>
          <w:sz w:val="34"/>
        </w:rPr>
        <w:t>ส่วนเพิ่มเติมในบทที่ 4: การทดสอบนัยสำคัญทางสถิติ (nDCG@10)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ผู้วิจัยทำการทดสอบนัยสำคัญทางสถิติแบบจับคู่ (Paired t-test) บนค่า nDCG@10 รายเคสจากชุดทดสอบ 76 เคส พร้อมปรับค่านัยสำคัญด้วยวิธี Holm-Bonferroni และรายงานขนาดผลด้วยค่า Cohen's 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เปรียบเทียบกับ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H2L-Hybrid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Baseline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ผลต่าง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Cohen's d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p (Holm)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นัยสำคัญ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4"/>
              </w:rPr>
              <w:t>BM25 Only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4"/>
              </w:rPr>
              <w:t>0.3285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4"/>
              </w:rPr>
              <w:t>0.2861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4"/>
              </w:rPr>
              <w:t>+0.0425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4"/>
              </w:rPr>
              <w:t>0.25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4"/>
              </w:rPr>
              <w:t>0.1025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4"/>
              </w:rPr>
              <w:t>ns</w:t>
            </w:r>
          </w:p>
        </w:tc>
      </w:tr>
      <w:tr>
        <w:tc>
          <w:tcPr>
            <w:tcW w:type="dxa" w:w="1234"/>
            <w:shd w:val="clear" w:color="auto" w:fill="E2EFDA"/>
          </w:tcPr>
          <w:p>
            <w:pPr>
              <w:jc w:val="left"/>
            </w:pPr>
            <w:r>
              <w:rPr>
                <w:rFonts w:ascii="TH SarabunPSK" w:hAnsi="TH SarabunPSK" w:cs="TH SarabunPSK"/>
                <w:b/>
                <w:sz w:val="24"/>
              </w:rPr>
              <w:t>Naive RAG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0.3285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0.2623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+0.0662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0.43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0.0019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** (p&lt;0.01)</w:t>
            </w:r>
          </w:p>
        </w:tc>
      </w:tr>
      <w:tr>
        <w:tc>
          <w:tcPr>
            <w:tcW w:type="dxa" w:w="1234"/>
            <w:shd w:val="clear" w:color="auto" w:fill="E2EFDA"/>
          </w:tcPr>
          <w:p>
            <w:pPr>
              <w:jc w:val="left"/>
            </w:pPr>
            <w:r>
              <w:rPr>
                <w:rFonts w:ascii="TH SarabunPSK" w:hAnsi="TH SarabunPSK" w:cs="TH SarabunPSK"/>
                <w:b/>
                <w:sz w:val="24"/>
              </w:rPr>
              <w:t>HyDE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0.3285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0.1826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+0.1459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0.48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0.0005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*** (p&lt;0.001)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4"/>
              </w:rPr>
              <w:t>Basic (Hybrid)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4"/>
              </w:rPr>
              <w:t>0.3285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4"/>
              </w:rPr>
              <w:t>0.3031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4"/>
              </w:rPr>
              <w:t>+0.0254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4"/>
              </w:rPr>
              <w:t>0.24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4"/>
              </w:rPr>
              <w:t>0.1025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4"/>
              </w:rPr>
              <w:t>ns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4"/>
              </w:rPr>
              <w:t>H2L-BM25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4"/>
              </w:rPr>
              <w:t>0.3285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4"/>
              </w:rPr>
              <w:t>0.3018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4"/>
              </w:rPr>
              <w:t>+0.0268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4"/>
              </w:rPr>
              <w:t>0.21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4"/>
              </w:rPr>
              <w:t>0.1025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4"/>
              </w:rPr>
              <w:t>ns</w:t>
            </w:r>
          </w:p>
        </w:tc>
      </w:tr>
      <w:tr>
        <w:tc>
          <w:tcPr>
            <w:tcW w:type="dxa" w:w="1234"/>
            <w:shd w:val="clear" w:color="auto" w:fill="E2EFDA"/>
          </w:tcPr>
          <w:p>
            <w:pPr>
              <w:jc w:val="left"/>
            </w:pPr>
            <w:r>
              <w:rPr>
                <w:rFonts w:ascii="TH SarabunPSK" w:hAnsi="TH SarabunPSK" w:cs="TH SarabunPSK"/>
                <w:b/>
                <w:sz w:val="24"/>
              </w:rPr>
              <w:t>H2L-Naive RAG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0.3285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0.2720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+0.0566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0.39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0.0050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** (p&lt;0.01)</w:t>
            </w:r>
          </w:p>
        </w:tc>
      </w:tr>
      <w:tr>
        <w:tc>
          <w:tcPr>
            <w:tcW w:type="dxa" w:w="1234"/>
            <w:shd w:val="clear" w:color="auto" w:fill="E2EFDA"/>
          </w:tcPr>
          <w:p>
            <w:pPr>
              <w:jc w:val="left"/>
            </w:pPr>
            <w:r>
              <w:rPr>
                <w:rFonts w:ascii="TH SarabunPSK" w:hAnsi="TH SarabunPSK" w:cs="TH SarabunPSK"/>
                <w:b/>
                <w:sz w:val="24"/>
              </w:rPr>
              <w:t>H2L-HyDE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0.3285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0.1694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+0.1592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0.49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0.0003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4"/>
              </w:rPr>
              <w:t>*** (p&lt;0.001)</w:t>
            </w:r>
          </w:p>
        </w:tc>
      </w:tr>
    </w:tbl>
    <w:p>
      <w:pPr>
        <w:spacing w:before="0" w:after="80" w:line="336" w:lineRule="auto"/>
        <w:jc w:val="both"/>
      </w:pPr>
      <w:r>
        <w:rPr>
          <w:rFonts w:ascii="TH SarabunPSK" w:hAnsi="TH SarabunPSK" w:cs="TH SarabunPSK"/>
          <w:b w:val="0"/>
          <w:sz w:val="32"/>
        </w:rPr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26"/>
        </w:rPr>
        <w:t>หมายเหตุ: *** = p &lt; 0.001, ** = p &lt; 0.01, * = p &lt; 0.05, ns = ไม่มีนัยสำคัญ (ค่า p ทั้งหมดผ่านการปรับด้วย Holm-Bonferroni)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H2L-Hybrid มีประสิทธิภาพเหนือกว่ากลยุทธ์ Naive RAG, HyDE, H2L-Naive RAG และ H2L-HyDE อย่างมีนัยสำคัญทางสถิติ (p &lt; 0.05) โดยมีขนาดผลระดับปานกลาง (Cohen's d = 0.39–0.49) สำหรับ BM25 Only, Basic (Hybrid) และ H2L-BM25 ซึ่งเป็น baseline ที่แข็งแกร่ง ผลต่างยังไม่ถึงระดับนัยสำคัญหลังการปรับแก้ แต่ H2L-Hybrid มีค่าเฉลี่ยสูงกว่าทุกกรณีในทุกตัวชี้วัด</w:t>
      </w:r>
    </w:p>
    <w:p>
      <w:pPr>
        <w:spacing w:before="240" w:after="120" w:line="336" w:lineRule="auto"/>
        <w:jc w:val="left"/>
      </w:pPr>
      <w:r>
        <w:rPr>
          <w:rFonts w:ascii="TH SarabunPSK" w:hAnsi="TH SarabunPSK" w:cs="TH SarabunPSK"/>
          <w:b/>
          <w:sz w:val="34"/>
        </w:rPr>
        <w:t>หมายเหตุสำหรับบทที่ 5 (ข้อจำกัด)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จากการทดสอบพบว่าเคสข้อความสั้นด้านคนไร้บ้าน (TINY_HOMELESS_01: "ไม่มีที่อยู่อาศัย") ระบบตรวจจับรหัสปัญหาได้ถูกต้อง (0801 [SOCIAL]) แต่ไม่สามารถค้นคืนเอกสารสนับสนุนที่เกี่ยวข้องได้ สะท้อนว่าคลังเอกสารอ้างอิงมีเนื้อหาด้านคนไร้บ้านไม่เพียงพอ (retrieval gap) ไม่ใช่ข้อบกพร่องของการตรวจจับ ผู้วิจัยเสนอให้ขยายคลังเอกสารในหมวดดังกล่าวในงานวิจัยครั้งต่อไป</w:t>
      </w:r>
    </w:p>
    <w:p>
      <w:r>
        <w:br w:type="page"/>
      </w:r>
    </w:p>
    <w:p>
      <w:pPr>
        <w:spacing w:before="240" w:after="120" w:line="336" w:lineRule="auto"/>
        <w:jc w:val="left"/>
      </w:pPr>
      <w:r>
        <w:rPr>
          <w:rFonts w:ascii="TH SarabunPSK" w:hAnsi="TH SarabunPSK" w:cs="TH SarabunPSK"/>
          <w:b/>
          <w:sz w:val="34"/>
        </w:rPr>
        <w:t>ส่วนเพิ่มเติมในบทที่ 4: การเปรียบเทียบแบบจำลองภาษาขนาดใหญ่ในระดับ L2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เนื่องจากระบบ H2L ใช้แบบจำลองภาษาขนาดใหญ่ (LLM) ในการตรวจสอบเชิงความหมายระดับ L2 ผู้วิจัยจึงทำการทดลองเปรียบเทียบแบบจำลองที่ประมวลผลบนเครื่อง (Local LLM) เพื่อเลือกแบบจำลองที่เหมาะสม โดยทดลองกับแบบจำลอง 3 ตัว บนชุดทดสอบเดียวกันจำนวน 76 เคส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การทดลองนี้ควบคุมตัวแปรอย่างเข้มงวด โดยกำหนดให้ชุดคำสั่ง (prompt) ฐานความรู้รหัสปัญหา กฎการตรวจจับระดับ L1 แบบจำลองฝังความหมาย (intfloat/multilingual-e5-base) แบบจำลองจัดอันดับใหม่ (BAAI/bge-reranker-v2-m3) ค่า temperature เท่ากับ 0.2 และค่า seed เท่ากับ 42 คงที่ทั้งหมด และบันทึกค่า SHA-256 ของไฟล์ H2L_core เพื่อยืนยันว่าสูตรการให้คะแนนไม่เปลี่ยนแปลง ตัวแปรที่เปลี่ยนคือแบบจำลองระดับ L2 เพียงอย่างเดียว ผลแสดงในตารางที่ XX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ตัวชี้วัด</w:t>
            </w:r>
          </w:p>
        </w:tc>
        <w:tc>
          <w:tcPr>
            <w:tcW w:type="dxa" w:w="2880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Qwen 2.5 7B</w:t>
            </w:r>
          </w:p>
        </w:tc>
        <w:tc>
          <w:tcPr>
            <w:tcW w:type="dxa" w:w="2880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Typhoon 2 8B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จำนวนพารามิเตอร์ / quantization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7.6B / Q4_K_M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8.0B / Q4_K_M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ขนาดแบบจำลอง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4.36 GiB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4.58 GiB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เคสที่เรียกใช้ L2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55/76 (72.37%)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55/76 (72.37%)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Micro Precision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0.3255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0.3286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Micro Recall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0.4286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0.4286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Micro F1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0.3700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0.3720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Macro F1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0.3401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0.3392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Exact Match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0.1711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0.1711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Mean Jaccard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0.3111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0.3100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Macro F1 (เฉพาะเคสที่เรียก L2)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0.2858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0.2846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Median L2 latency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13.17 วินาที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13.85 วินาที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P95 L2 latency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23.56 วินาที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25.07 วินาที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อัตราการ degrade ของ L2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0%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0%</w:t>
            </w:r>
          </w:p>
        </w:tc>
      </w:tr>
    </w:tbl>
    <w:p>
      <w:pPr>
        <w:spacing w:before="0" w:after="80" w:line="336" w:lineRule="auto"/>
        <w:jc w:val="both"/>
      </w:pPr>
      <w:r>
        <w:rPr>
          <w:rFonts w:ascii="TH SarabunPSK" w:hAnsi="TH SarabunPSK" w:cs="TH SarabunPSK"/>
          <w:b w:val="0"/>
          <w:sz w:val="32"/>
        </w:rPr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ผลการทดลองไม่พบผู้ชนะที่ชัดเจน ค่าตัวชี้วัดของทั้งสองแบบจำลองต่างกันเพียงเล็กน้อยและชี้ไปในทิศทางต่างกัน กล่าวคือ Typhoon 2 สูงกว่า Qwen 2.5 ในค่า Micro F1 เพียง 0.0020 ขณะที่ Qwen 2.5 สูงกว่าในค่า Macro F1 เพียง 0.0009 และเร็วกว่าประมาณ 0.67 วินาทีที่ค่ากลางของเวลาประมวลผล ความแตกต่างระดับนี้ไม่เพียงพอต่อการสรุปว่าแบบจำลองใดเหนือกว่าจากการทดลองเพียงครั้งเดียว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เมื่อพิจารณาผลลัพธ์รายเคส พบว่าชุดรหัสปัญหาสุดท้ายแตกต่างกันเพียง 4 จาก 76 เคส โดย Qwen 2.5 ให้ค่า F1 สูงกว่าใน 1 เคส Typhoon 2 สูงกว่าใน 2 เคส และเท่ากันใน 73 เคส ความแตกต่างที่พบเกิดขึ้นเฉพาะกรณีที่อยู่ในเขตก้ำกึ่งของการตรวจสอบ (borderline validation) ซึ่งแสดงว่ากลไกตรวจสอบฐานความรู้รหัสปัญหาและการยึดโยงหลักฐาน (evidence anchoring) ของระบบ H2L ช่วยกรองรหัสที่แบบจำลองเสนอมาอย่างไม่ถูกต้องออกไปก่อนถึงผลลัพธ์สุดท้าย ทำให้ระบบมีความผันแปรตามแบบจำลองน้อยกว่าการใช้ผลลัพธ์ดิบจากแบบจำลองโดยตรง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สำหรับแบบจำลอง scb10x/typhoon2.1-gemma3-4b ซึ่งเป็นแบบจำลองขนาดเล็กที่ทดลองเป็นตัวแรกนั้น พบว่าการเรียกใช้ระดับ L2 เกิดความล้มเหลวทุกครั้งจากข้อผิดพลาดของ template ในเส้นทาง Ollama OpenAI-compatible (selectattr: unknown test 'tool_calls') และการสร้างข้อความแบบ native ก็ล้มเหลวเช่นกัน ผู้วิจัยจึงคัดแบบจำลองนี้ออกด้วยเหตุผลด้านความไม่เข้ากันของสภาพแวดล้อมการทำงาน (runtime incompatibility) ไม่ใช่เพราะการทดลองพิสูจน์ว่าคุณภาพเชิงความหมายด้อยกว่า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จากผลดังกล่าว ผู้วิจัยจึงเลือกใช้ Qwen 2.5 7B เป็นแบบจำลองระดับ L2 หลักของระบบ และเปิดให้ Typhoon 2 8B เป็นตัวเลือกสำรองที่เน้นภาษาไทย เนื่องจากทั้งสองให้คุณภาพเทียบเท่ากันในทางปฏิบัติ แต่ Qwen 2.5 มีขนาดเล็กกว่าและมีเวลาประมวลผลที่ค่ากลางเร็วกว่าเล็กน้อย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0"/>
        </w:rPr>
        <w:t>ข้อจำกัดในการตีความ: ค่าตัวชี้วัดที่รายงานเป็นผลลัพธ์แบบ end-to-end หลังผ่านกฎ L1 การตรวจสอบ L2 กลไกความปลอดภัยกรณีวิกฤต การตรวจสอบฐานความรู้ และการยึดโยงหลักฐานแล้ว จึงไม่ใช่การวัดความสามารถความเข้าใจภาษาของแบบจำลองอย่างแยกเดี่ยว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