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937"/>
          <w:spacing w:val="20"/>
          <w:sz w:val="34"/>
          <w:szCs w:val="34"/>
        </w:rPr>
        <w:t xml:space="preserve">MICKHAIL REEVES</w:t>
      </w:r>
    </w:p>
    <w:p>
      <w:pPr>
        <w:spacing w:after="140"/>
        <w:jc w:val="center"/>
      </w:pPr>
      <w:r>
        <w:rPr>
          <w:color w:val="555555"/>
          <w:sz w:val="18"/>
          <w:szCs w:val="18"/>
        </w:rPr>
        <w:t xml:space="preserve">(914) 602-6399</w:t>
      </w:r>
      <w:r>
        <w:rPr>
          <w:color w:val="555555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MickhailReeves209@gmail.com</w:t>
      </w:r>
      <w:r>
        <w:rPr>
          <w:color w:val="555555"/>
          <w:sz w:val="18"/>
          <w:szCs w:val="18"/>
        </w:rPr>
        <w:t xml:space="preserve">   |   </w:t>
      </w:r>
      <w:hyperlink w:history="1" r:id="rId53uudq63fr2k2tjkrcs8k">
        <w:r>
          <w:rPr>
            <w:color w:val="1C6EF7"/>
            <w:sz w:val="18"/>
            <w:szCs w:val="18"/>
            <w:u w:val="single"/>
          </w:rPr>
          <w:t xml:space="preserve">linkedin.com/in/mickhail-reeves</w:t>
        </w:r>
      </w:hyperlink>
      <w:r>
        <w:rPr>
          <w:color w:val="555555"/>
          <w:sz w:val="18"/>
          <w:szCs w:val="18"/>
        </w:rPr>
        <w:t xml:space="preserve">   |   </w:t>
      </w:r>
      <w:hyperlink w:history="1" r:id="rIdeev167wreapqa9i2lwpib">
        <w:r>
          <w:rPr>
            <w:color w:val="1C6EF7"/>
            <w:sz w:val="18"/>
            <w:szCs w:val="18"/>
            <w:u w:val="single"/>
          </w:rPr>
          <w:t xml:space="preserve">mickhailreeves.github.io</w:t>
        </w:r>
      </w:hyperlink>
    </w:p>
    <w:p>
      <w:pPr>
        <w:pBdr>
          <w:bottom w:val="single" w:color="1C6EF7" w:sz="6" w:space="3"/>
        </w:pBdr>
        <w:spacing w:after="60" w:before="120"/>
      </w:pPr>
      <w:r>
        <w:rPr>
          <w:b/>
          <w:bCs/>
          <w:color w:val="1F2937"/>
          <w:spacing w:val="10"/>
          <w:sz w:val="20"/>
          <w:szCs w:val="20"/>
        </w:rPr>
        <w:t xml:space="preserve">SUMMARY</w:t>
      </w:r>
    </w:p>
    <w:p>
      <w:pPr>
        <w:spacing w:after="100"/>
        <w:jc w:val="left"/>
      </w:pPr>
      <w:r>
        <w:rPr>
          <w:color w:val="222222"/>
          <w:sz w:val="18"/>
          <w:szCs w:val="18"/>
        </w:rPr>
        <w:t xml:space="preserve">Human Factors graduate student and UX researcher/designer with end-to-end experience across user research, wireframing, and high-fidelity prototyping in Figma. Skilled in translating ambiguous, complex problems into clear, accessible, user-centered digital experiences, informed by a background in crisis communication, care management, and freelance UI design since 2018. Open to research, design, and hybrid roles; comfortable applying AI-enabled tools to support research, ideation, and design execution.</w:t>
      </w:r>
    </w:p>
    <w:p>
      <w:pPr>
        <w:pBdr>
          <w:bottom w:val="single" w:color="1C6EF7" w:sz="6" w:space="3"/>
        </w:pBdr>
        <w:spacing w:after="60" w:before="120"/>
      </w:pPr>
      <w:r>
        <w:rPr>
          <w:b/>
          <w:bCs/>
          <w:color w:val="1F2937"/>
          <w:spacing w:val="10"/>
          <w:sz w:val="20"/>
          <w:szCs w:val="20"/>
        </w:rPr>
        <w:t xml:space="preserve">EDUCATION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Bentley University — Waltham, MA</w:t>
      </w:r>
      <w:r>
        <w:rPr>
          <w:i/>
          <w:iCs/>
          <w:color w:val="555555"/>
          <w:sz w:val="18"/>
          <w:szCs w:val="18"/>
        </w:rPr>
        <w:t xml:space="preserve">   </w:t>
      </w:r>
    </w:p>
    <w:p>
      <w:pPr>
        <w:spacing w:after="30"/>
      </w:pPr>
      <w:r>
        <w:rPr>
          <w:color w:val="222222"/>
          <w:sz w:val="18"/>
          <w:szCs w:val="18"/>
        </w:rPr>
        <w:t xml:space="preserve">M.S. in Human Factors in Information Design (HFID)  |  GPA: 3.9  |  Expected December 2026</w:t>
      </w:r>
    </w:p>
    <w:p>
      <w:pPr>
        <w:spacing w:after="100"/>
      </w:pPr>
      <w:r>
        <w:rPr>
          <w:i/>
          <w:iCs/>
          <w:color w:val="555555"/>
          <w:sz w:val="17"/>
          <w:szCs w:val="17"/>
        </w:rPr>
        <w:t xml:space="preserve">Relevant coursework: Foundations in Human Factors, Managing the Experience Design Process, Visualizing Information, Testing &amp; Assessment Programs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Oakwood University — Huntsville, AL</w:t>
      </w:r>
      <w:r>
        <w:rPr>
          <w:i/>
          <w:iCs/>
          <w:color w:val="555555"/>
          <w:sz w:val="18"/>
          <w:szCs w:val="18"/>
        </w:rPr>
        <w:t xml:space="preserve">   </w:t>
      </w:r>
    </w:p>
    <w:p>
      <w:pPr>
        <w:spacing w:after="60"/>
      </w:pPr>
      <w:r>
        <w:rPr>
          <w:color w:val="222222"/>
          <w:sz w:val="18"/>
          <w:szCs w:val="18"/>
        </w:rPr>
        <w:t xml:space="preserve">B.S. in Psychology, Minor in Computer Science  |  GPA: 3.2  |  Graduated May 2019</w:t>
      </w:r>
    </w:p>
    <w:p>
      <w:pPr>
        <w:pBdr>
          <w:bottom w:val="single" w:color="1C6EF7" w:sz="6" w:space="3"/>
        </w:pBdr>
        <w:spacing w:after="60" w:before="120"/>
      </w:pPr>
      <w:r>
        <w:rPr>
          <w:b/>
          <w:bCs/>
          <w:color w:val="1F2937"/>
          <w:spacing w:val="10"/>
          <w:sz w:val="20"/>
          <w:szCs w:val="20"/>
        </w:rPr>
        <w:t xml:space="preserve">SELECTED PROJECTS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Post-Fulfillment Support Gap — Vision Care Client</w:t>
      </w:r>
      <w:r>
        <w:rPr>
          <w:i/>
          <w:iCs/>
          <w:color w:val="555555"/>
          <w:sz w:val="18"/>
          <w:szCs w:val="18"/>
        </w:rPr>
        <w:t xml:space="preserve">   UX Researcher &amp; Designer | Spring 2026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Led end-to-end research (81-respondent survey, 8 semi-structured interviews) to identify usability gaps in post-purchase customer support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Synthesized findings through affinity diagramming, translating raw qualitative data into actionable design requirements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Designed and iterated a mid-fidelity prototype in Figma, validated through unmoderated usability testing (n=8), achieving a 4.63/5 average usability score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AI-Powered Eye Health Tool Evaluation</w:t>
      </w:r>
      <w:r>
        <w:rPr>
          <w:i/>
          <w:iCs/>
          <w:color w:val="555555"/>
          <w:sz w:val="18"/>
          <w:szCs w:val="18"/>
        </w:rPr>
        <w:t xml:space="preserve">   UX Researcher | Spring 2026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Conducted qualitative research and stakeholder interviews evaluating patient trust in AI-driven diagnostic tools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Coded findings into 8 themes through affinity analysis, informing 5 actionable design recommendations to improve perceived credibility and adoption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Galaxy AI Customer Retention Capstone</w:t>
      </w:r>
      <w:r>
        <w:rPr>
          <w:i/>
          <w:iCs/>
          <w:color w:val="555555"/>
          <w:sz w:val="18"/>
          <w:szCs w:val="18"/>
        </w:rPr>
        <w:t xml:space="preserve">   Business Analytics &amp; Strategy | CS655, Summer 2026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Developed a data-driven retention strategy proposing Samsung treat Galaxy AI features as measurable products, addressing weak ecosystem lock-in against Apple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Built and delivered a 9-slide executive presentation and supporting report; earned 35/35 on the report and 5/5 on the presentation</w:t>
      </w:r>
    </w:p>
    <w:p>
      <w:pPr>
        <w:pBdr>
          <w:bottom w:val="single" w:color="1C6EF7" w:sz="6" w:space="3"/>
        </w:pBdr>
        <w:spacing w:after="60" w:before="120"/>
      </w:pPr>
      <w:r>
        <w:rPr>
          <w:b/>
          <w:bCs/>
          <w:color w:val="1F2937"/>
          <w:spacing w:val="10"/>
          <w:sz w:val="20"/>
          <w:szCs w:val="20"/>
        </w:rPr>
        <w:t xml:space="preserve">PROFESSIONAL EXPERIENCE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Graduate Researcher &amp; Designer | Bentley University, HFID Program</w:t>
      </w:r>
      <w:r>
        <w:rPr>
          <w:i/>
          <w:iCs/>
          <w:color w:val="555555"/>
          <w:sz w:val="18"/>
          <w:szCs w:val="18"/>
        </w:rPr>
        <w:t xml:space="preserve">   Waltham, MA | 2026 – Present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Conduct end-to-end UX research including survey design, semi-structured interviews, affinity diagramming, and usability testing for an industry client in the vision care sector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Apply human factors principles to translate research findings into actionable design recommendations and prototypes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Synthesize qualitative data across 97+ participants to inform information architecture decisions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Freelance UI Designer | Independent Contract Work, Roblox Platform</w:t>
      </w:r>
      <w:r>
        <w:rPr>
          <w:i/>
          <w:iCs/>
          <w:color w:val="555555"/>
          <w:sz w:val="18"/>
          <w:szCs w:val="18"/>
        </w:rPr>
        <w:t xml:space="preserve">   2018 – Present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Design in-game UI systems for independent developers, including inventory, menu, and HUD components, applying visual hierarchy and accessibility principles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Iterate designs across multiple revision cycles based on developer and end-user feedback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Crisis Counselor | 988 Suicide &amp; Crisis Lifeline (Vibrant Emotional Health)</w:t>
      </w:r>
      <w:r>
        <w:rPr>
          <w:i/>
          <w:iCs/>
          <w:color w:val="555555"/>
          <w:sz w:val="18"/>
          <w:szCs w:val="18"/>
        </w:rPr>
        <w:t xml:space="preserve">   NY | Feb 2020 – Feb 2025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Practiced active listening and real-time behavioral observation to assess needs and guide callers toward appropriate resources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Communicated complex, sensitive information clearly under pressure across diverse literacy levels and emotional states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Care Manager | LifePlan CCO</w:t>
      </w:r>
      <w:r>
        <w:rPr>
          <w:i/>
          <w:iCs/>
          <w:color w:val="555555"/>
          <w:sz w:val="18"/>
          <w:szCs w:val="18"/>
        </w:rPr>
        <w:t xml:space="preserve">   New York, NY | Mar 2025 – Dec 2025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Translated complex policy and procedural requirements into plain-language guidance, reducing cognitive load for members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Advocated for member needs across multiple service areas, identifying and addressing systemic access barriers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Graduate Student Ambassador | Bentley University</w:t>
      </w:r>
      <w:r>
        <w:rPr>
          <w:i/>
          <w:iCs/>
          <w:color w:val="555555"/>
          <w:sz w:val="18"/>
          <w:szCs w:val="18"/>
        </w:rPr>
        <w:t xml:space="preserve">   Waltham, MA | Summer 2026 – Present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Represent the HFID program to prospective students, translating curriculum and career-outcome information into clear, audience-aware communication</w:t>
      </w:r>
    </w:p>
    <w:p>
      <w:pPr>
        <w:spacing w:after="15" w:before="70"/>
      </w:pPr>
      <w:r>
        <w:rPr>
          <w:b/>
          <w:bCs/>
          <w:color w:val="111111"/>
          <w:sz w:val="19"/>
          <w:szCs w:val="19"/>
        </w:rPr>
        <w:t xml:space="preserve">Student Test Proctor | Bentley University</w:t>
      </w:r>
      <w:r>
        <w:rPr>
          <w:i/>
          <w:iCs/>
          <w:color w:val="555555"/>
          <w:sz w:val="18"/>
          <w:szCs w:val="18"/>
        </w:rPr>
        <w:t xml:space="preserve">   Waltham, MA | Jan 2026 – Present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Support students during examinations by maintaining a calm, organized, and accommodating environment</w:t>
      </w:r>
    </w:p>
    <w:p>
      <w:pPr>
        <w:pStyle w:val="ListParagraph"/>
        <w:numPr>
          <w:ilvl w:val="0"/>
          <w:numId w:val="1"/>
        </w:numPr>
        <w:spacing w:after="15"/>
        <w:ind w:left="316"/>
      </w:pPr>
      <w:r>
        <w:rPr>
          <w:color w:val="222222"/>
          <w:sz w:val="18"/>
          <w:szCs w:val="18"/>
        </w:rPr>
        <w:t xml:space="preserve">Serve as a point of contact between students and faculty, communicating procedures with clarity and patience</w:t>
      </w:r>
    </w:p>
    <w:p>
      <w:pPr>
        <w:pBdr>
          <w:bottom w:val="single" w:color="1C6EF7" w:sz="6" w:space="3"/>
        </w:pBdr>
        <w:spacing w:after="60" w:before="120"/>
      </w:pPr>
      <w:r>
        <w:rPr>
          <w:b/>
          <w:bCs/>
          <w:color w:val="1F2937"/>
          <w:spacing w:val="10"/>
          <w:sz w:val="20"/>
          <w:szCs w:val="20"/>
        </w:rPr>
        <w:t xml:space="preserve">SKILLS</w:t>
      </w:r>
    </w:p>
    <w:p>
      <w:pPr>
        <w:spacing w:after="60"/>
      </w:pPr>
      <w:r>
        <w:rPr>
          <w:b/>
          <w:bCs/>
          <w:color w:val="111111"/>
          <w:sz w:val="19"/>
          <w:szCs w:val="19"/>
        </w:rPr>
        <w:t xml:space="preserve">Design &amp; Research: </w:t>
      </w:r>
      <w:r>
        <w:rPr>
          <w:color w:val="222222"/>
          <w:sz w:val="18"/>
          <w:szCs w:val="18"/>
        </w:rPr>
        <w:t xml:space="preserve">Figma, Wireframing, Prototyping, Usability Testing, A/B Testing, Information Architecture, Affinity Diagramming, Survey Design, Accessibility (WCAG), Design Systems</w:t>
      </w:r>
    </w:p>
    <w:p>
      <w:pPr>
        <w:spacing w:after="60"/>
      </w:pPr>
      <w:r>
        <w:rPr>
          <w:b/>
          <w:bCs/>
          <w:color w:val="111111"/>
          <w:sz w:val="19"/>
          <w:szCs w:val="19"/>
        </w:rPr>
        <w:t xml:space="preserve">Technical: </w:t>
      </w:r>
      <w:r>
        <w:rPr>
          <w:color w:val="222222"/>
          <w:sz w:val="18"/>
          <w:szCs w:val="18"/>
        </w:rPr>
        <w:t xml:space="preserve">SPSS, Jira, Microsoft Office, Google Workspace, AI-enabled design &amp; research tools</w:t>
      </w:r>
    </w:p>
    <w:p>
      <w:pPr>
        <w:spacing w:after="60"/>
      </w:pPr>
      <w:r>
        <w:rPr>
          <w:b/>
          <w:bCs/>
          <w:color w:val="111111"/>
          <w:sz w:val="19"/>
          <w:szCs w:val="19"/>
        </w:rPr>
        <w:t xml:space="preserve">Interpersonal: </w:t>
      </w:r>
      <w:r>
        <w:rPr>
          <w:color w:val="222222"/>
          <w:sz w:val="18"/>
          <w:szCs w:val="18"/>
        </w:rPr>
        <w:t xml:space="preserve">Cross-functional collaboration, stakeholder communication, active listening, cross-cultural engagement</w:t>
      </w:r>
    </w:p>
    <w:sectPr>
      <w:pgSz w:w="12240" w:h="15840" w:orient="portrait"/>
      <w:pgMar w:top="380" w:right="680" w:bottom="3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3uudq63fr2k2tjkrcs8k" Type="http://schemas.openxmlformats.org/officeDocument/2006/relationships/hyperlink" Target="https://www.linkedin.com/in/mickhail-reeves" TargetMode="External"/><Relationship Id="rIdeev167wreapqa9i2lwpib" Type="http://schemas.openxmlformats.org/officeDocument/2006/relationships/hyperlink" Target="https://mickhailreeves.github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2026-08-09T04:56:28.463Z</dcterms:created>
  <dcterms:modified xsi:type="dcterms:W3CDTF">2026-08-09T04:56:28.463Z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