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 正式研究报告</w:t>
      </w:r>
    </w:p>
    <w:p>
      <w:r>
        <w:t>研究对象：{{subject}}（证券代码：{{symbol}}）</w:t>
        <w:br/>
        <w:t>报告日期：{{report_date}}</w:t>
        <w:br/>
        <w:t>报告类型：{{report_type_zh}}（自动化系统生成）</w:t>
      </w:r>
    </w:p>
    <w:p>
      <w:pPr>
        <w:pStyle w:val="Heading1"/>
      </w:pPr>
      <w:r>
        <w:t>核心观点</w:t>
      </w:r>
    </w:p>
    <w:p>
      <w:r>
        <w:t>{{核心观点}}</w:t>
      </w:r>
    </w:p>
    <w:p>
      <w:pPr>
        <w:pStyle w:val="Heading1"/>
      </w:pPr>
      <w:r>
        <w:t>主要财务指标</w:t>
      </w:r>
    </w:p>
    <w:p>
      <w:r>
        <w:t>{{主要财务指标}}</w:t>
      </w:r>
    </w:p>
    <w:p>
      <w:pPr>
        <w:pStyle w:val="Heading1"/>
      </w:pPr>
      <w:r>
        <w:t>研究逻辑与方法说明</w:t>
      </w:r>
    </w:p>
    <w:p>
      <w:r>
        <w:t>{{研究逻辑与方法说明}}</w:t>
      </w:r>
    </w:p>
    <w:p>
      <w:pPr>
        <w:pStyle w:val="Heading1"/>
      </w:pPr>
      <w:r>
        <w:t>行业/宏观背景</w:t>
      </w:r>
    </w:p>
    <w:p>
      <w:r>
        <w:t>{{行业/宏观背景}}</w:t>
      </w:r>
    </w:p>
    <w:p>
      <w:pPr>
        <w:pStyle w:val="Heading1"/>
      </w:pPr>
      <w:r>
        <w:t>财务分析</w:t>
      </w:r>
    </w:p>
    <w:p>
      <w:r>
        <w:t>{{财务分析}}</w:t>
      </w:r>
    </w:p>
    <w:p>
      <w:pPr>
        <w:pStyle w:val="Heading1"/>
      </w:pPr>
      <w:r>
        <w:t>估值方法与假设</w:t>
      </w:r>
    </w:p>
    <w:p>
      <w:r>
        <w:t>{{估值方法与假设}}</w:t>
      </w:r>
    </w:p>
    <w:p>
      <w:pPr>
        <w:pStyle w:val="Heading1"/>
      </w:pPr>
      <w:r>
        <w:t>情景与敏感性分析</w:t>
      </w:r>
    </w:p>
    <w:p>
      <w:r>
        <w:t>{{情景与敏感性分析}}</w:t>
      </w:r>
    </w:p>
    <w:p>
      <w:pPr>
        <w:pStyle w:val="Heading1"/>
      </w:pPr>
      <w:r>
        <w:t>风险提示</w:t>
      </w:r>
    </w:p>
    <w:p>
      <w:r>
        <w:t>{{风险提示}}</w:t>
      </w:r>
    </w:p>
    <w:p>
      <w:pPr>
        <w:pStyle w:val="Heading1"/>
      </w:pPr>
      <w:r>
        <w:t>图表与表格</w:t>
      </w:r>
    </w:p>
    <w:p>
      <w:r>
        <w:t>{{图表与表格}}</w:t>
      </w:r>
    </w:p>
    <w:p>
      <w:pPr>
        <w:pStyle w:val="Heading1"/>
      </w:pPr>
      <w:r>
        <w:t>数据来源</w:t>
      </w:r>
    </w:p>
    <w:p>
      <w:r>
        <w:t>{{数据来源}}</w:t>
      </w:r>
    </w:p>
    <w:p>
      <w:pPr>
        <w:pStyle w:val="Heading1"/>
      </w:pPr>
      <w:r>
        <w:t>方法限制</w:t>
      </w:r>
    </w:p>
    <w:p>
      <w:r>
        <w:t>{{方法限制}}</w:t>
      </w:r>
    </w:p>
    <w:p>
      <w:pPr>
        <w:pStyle w:val="Heading1"/>
      </w:pPr>
      <w:r>
        <w:t>投资评级</w:t>
      </w:r>
    </w:p>
    <w:p>
      <w:r>
        <w:t>本系统不提供投资评级；文中估值结果均为工具计算与假设条件的演示。</w:t>
      </w:r>
    </w:p>
    <w:p>
      <w:pPr>
        <w:pStyle w:val="Heading1"/>
      </w:pPr>
      <w:r>
        <w:t>分析师声明（占位说明）</w:t>
      </w:r>
    </w:p>
    <w:p>
      <w:r>
        <w:t>本报告由自动化研究系统生成，无持牌证券分析师参与；分析师姓名/执业编号为披露模板占位项，不适用于本系统。</w:t>
      </w:r>
    </w:p>
    <w:p>
      <w:pPr>
        <w:pStyle w:val="Heading1"/>
      </w:pPr>
      <w:r>
        <w:t>利益冲突声明</w:t>
      </w:r>
    </w:p>
    <w:p>
      <w:r>
        <w:t>系统及运行者不持有所涉证券头寸，无业务往来或付费委托；数据全部来自免费公开渠道。</w:t>
      </w:r>
    </w:p>
    <w:p>
      <w:pPr>
        <w:pStyle w:val="Heading1"/>
      </w:pPr>
      <w:r>
        <w:t>免责声明</w:t>
      </w:r>
    </w:p>
    <w:p>
      <w:r>
        <w:t>本报告基于免费公开信息自动生成，不构成投资建议；估值依赖假设，仅供技术研究演示；使用者自行核实并承担决策风险。</w:t>
      </w:r>
    </w:p>
    <w:p>
      <w:pPr>
        <w:pStyle w:val="Heading1"/>
      </w:pPr>
      <w:r>
        <w:t>报告传播与使用限制</w:t>
      </w:r>
    </w:p>
    <w:p>
      <w:r>
        <w:t>仅供学习与技术研究；不得商业分发、不得冒充持牌机构研究产品、不得删除披露章节后传播。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