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 Light" w:hAnsi="Calibri Light"/>
          <w:b/>
          <w:color w:val="182B49"/>
          <w:sz w:val="52"/>
        </w:rPr>
        <w:t>IP Addressing Table</w:t>
      </w:r>
    </w:p>
    <w:p>
      <w:pPr>
        <w:spacing w:before="0" w:after="360"/>
      </w:pPr>
      <w:r>
        <w:rPr>
          <w:i/>
          <w:color w:val="0072CE"/>
          <w:sz w:val="26"/>
        </w:rPr>
        <w:t>Network Topology Interface &amp; Subnet Configuration</w:t>
      </w:r>
    </w:p>
    <w:p>
      <w:pPr>
        <w:keepNext/>
        <w:spacing w:before="240" w:after="160"/>
      </w:pPr>
      <w:r>
        <w:rPr>
          <w:b/>
          <w:color w:val="182B49"/>
          <w:sz w:val="32"/>
        </w:rPr>
        <w:t>1. Interface Addressing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82B49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1296"/>
            <w:shd w:fill="182B49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1440"/>
            <w:shd w:fill="182B49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0"/>
              </w:rPr>
              <w:t>IP Address</w:t>
            </w:r>
          </w:p>
        </w:tc>
        <w:tc>
          <w:tcPr>
            <w:tcW w:type="dxa" w:w="1728"/>
            <w:shd w:fill="182B49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0"/>
              </w:rPr>
              <w:t>Subnet Mask</w:t>
            </w:r>
          </w:p>
        </w:tc>
        <w:tc>
          <w:tcPr>
            <w:tcW w:type="dxa" w:w="3024"/>
            <w:shd w:fill="182B49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0"/>
              </w:rPr>
              <w:t>Connected Subnet / Neighbor Device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b/>
                <w:sz w:val="19"/>
              </w:rPr>
              <w:t>ISP1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Se0/2/0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30.30.30.1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255.255.255.252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30.30.30.0/30 (To Top-Right Router)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before="60" w:after="60"/>
              <w:jc w:val="left"/>
            </w:pPr>
            <w:r>
              <w:rPr>
                <w:b/>
                <w:sz w:val="19"/>
              </w:rPr>
              <w:t>ISP1</w:t>
            </w:r>
          </w:p>
        </w:tc>
        <w:tc>
          <w:tcPr>
            <w:tcW w:type="dxa" w:w="1296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Se0/3/0</w:t>
            </w:r>
          </w:p>
        </w:tc>
        <w:tc>
          <w:tcPr>
            <w:tcW w:type="dxa" w:w="1440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60.60.60.1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255.255.255.252</w:t>
            </w:r>
          </w:p>
        </w:tc>
        <w:tc>
          <w:tcPr>
            <w:tcW w:type="dxa" w:w="3024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60.60.60.0/30 (To Bottom-Left Router)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b/>
                <w:sz w:val="19"/>
              </w:rPr>
              <w:t>ISP1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Se0/3/1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20.20.20.2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255.255.255.252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20.20.20.0/30 (To Bottom-Left Router)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before="60" w:after="60"/>
              <w:jc w:val="left"/>
            </w:pPr>
            <w:r>
              <w:rPr>
                <w:b/>
                <w:sz w:val="19"/>
              </w:rPr>
              <w:t>Top-Right Router</w:t>
            </w:r>
          </w:p>
        </w:tc>
        <w:tc>
          <w:tcPr>
            <w:tcW w:type="dxa" w:w="1296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Se0/3/1</w:t>
            </w:r>
          </w:p>
        </w:tc>
        <w:tc>
          <w:tcPr>
            <w:tcW w:type="dxa" w:w="1440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30.30.30.2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255.255.255.252</w:t>
            </w:r>
          </w:p>
        </w:tc>
        <w:tc>
          <w:tcPr>
            <w:tcW w:type="dxa" w:w="3024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30.30.30.0/30 (To ISP1)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b/>
                <w:sz w:val="19"/>
              </w:rPr>
              <w:t>Top-Right Router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Se0/3/0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50.50.50.1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255.255.255.252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50.50.50.0/30 (To BRANCH-Router)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before="60" w:after="60"/>
              <w:jc w:val="left"/>
            </w:pPr>
            <w:r>
              <w:rPr>
                <w:b/>
                <w:sz w:val="19"/>
              </w:rPr>
              <w:t>Top-Right Router</w:t>
            </w:r>
          </w:p>
        </w:tc>
        <w:tc>
          <w:tcPr>
            <w:tcW w:type="dxa" w:w="1296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Se0/2/0</w:t>
            </w:r>
          </w:p>
        </w:tc>
        <w:tc>
          <w:tcPr>
            <w:tcW w:type="dxa" w:w="1440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40.40.40.2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255.255.255.252</w:t>
            </w:r>
          </w:p>
        </w:tc>
        <w:tc>
          <w:tcPr>
            <w:tcW w:type="dxa" w:w="3024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40.40.40.0/30 (To BRANCH-Router)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b/>
                <w:sz w:val="19"/>
              </w:rPr>
              <w:t>Bottom-Left Router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Se0/3/1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20.20.20.1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255.255.255.252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20.20.20.0/30 (To ISP1)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before="60" w:after="60"/>
              <w:jc w:val="left"/>
            </w:pPr>
            <w:r>
              <w:rPr>
                <w:b/>
                <w:sz w:val="19"/>
              </w:rPr>
              <w:t>Bottom-Left Router</w:t>
            </w:r>
          </w:p>
        </w:tc>
        <w:tc>
          <w:tcPr>
            <w:tcW w:type="dxa" w:w="1296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Se0/3/0</w:t>
            </w:r>
          </w:p>
        </w:tc>
        <w:tc>
          <w:tcPr>
            <w:tcW w:type="dxa" w:w="1440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60.60.60.2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255.255.255.252</w:t>
            </w:r>
          </w:p>
        </w:tc>
        <w:tc>
          <w:tcPr>
            <w:tcW w:type="dxa" w:w="3024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60.60.60.0/30 (To ISP1)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b/>
                <w:sz w:val="19"/>
              </w:rPr>
              <w:t>Bottom-Left Router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Se0/2/0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10.10.10.1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255.255.255.252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10.10.10.0/30 (To BRANCH-Router)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before="60" w:after="60"/>
              <w:jc w:val="left"/>
            </w:pPr>
            <w:r>
              <w:rPr>
                <w:b/>
                <w:sz w:val="19"/>
              </w:rPr>
              <w:t>BRANCH-Router</w:t>
            </w:r>
          </w:p>
        </w:tc>
        <w:tc>
          <w:tcPr>
            <w:tcW w:type="dxa" w:w="1296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Se0/2/0</w:t>
            </w:r>
          </w:p>
        </w:tc>
        <w:tc>
          <w:tcPr>
            <w:tcW w:type="dxa" w:w="1440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10.10.10.2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255.255.255.252</w:t>
            </w:r>
          </w:p>
        </w:tc>
        <w:tc>
          <w:tcPr>
            <w:tcW w:type="dxa" w:w="3024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10.10.10.0/30 (To Bottom-Left Router)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b/>
                <w:sz w:val="19"/>
              </w:rPr>
              <w:t>BRANCH-Router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Se0/3/0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40.40.40.1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255.255.255.252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40.40.40.0/30 (To Top-Right Router)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before="60" w:after="60"/>
              <w:jc w:val="left"/>
            </w:pPr>
            <w:r>
              <w:rPr>
                <w:b/>
                <w:sz w:val="19"/>
              </w:rPr>
              <w:t>BRANCH-Router</w:t>
            </w:r>
          </w:p>
        </w:tc>
        <w:tc>
          <w:tcPr>
            <w:tcW w:type="dxa" w:w="1296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Se0/3/1</w:t>
            </w:r>
          </w:p>
        </w:tc>
        <w:tc>
          <w:tcPr>
            <w:tcW w:type="dxa" w:w="1440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50.50.50.2</w:t>
            </w:r>
          </w:p>
        </w:tc>
        <w:tc>
          <w:tcPr>
            <w:tcW w:type="dxa" w:w="1728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255.255.255.252</w:t>
            </w:r>
          </w:p>
        </w:tc>
        <w:tc>
          <w:tcPr>
            <w:tcW w:type="dxa" w:w="3024"/>
            <w:shd w:fill="F4F6F9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50.50.50.0/30 (To Top-Right Router)</w:t>
            </w:r>
          </w:p>
        </w:tc>
      </w:tr>
    </w:tbl>
    <w:p>
      <w:pPr>
        <w:spacing w:after="240"/>
      </w:pPr>
    </w:p>
    <w:p>
      <w:pPr>
        <w:keepNext/>
        <w:spacing w:before="320" w:after="160"/>
      </w:pPr>
      <w:r>
        <w:rPr>
          <w:b/>
          <w:color w:val="182B49"/>
          <w:sz w:val="32"/>
        </w:rPr>
        <w:t>2. Subnet &amp; Interconnection Breakdown</w:t>
      </w:r>
    </w:p>
    <w:p>
      <w:pPr>
        <w:pStyle w:val="ListBullet"/>
        <w:spacing w:before="0" w:after="60"/>
      </w:pPr>
      <w:r>
        <w:rPr>
          <w:b/>
          <w:color w:val="182B49"/>
        </w:rPr>
        <w:t>Subnet Mask /30:</w:t>
      </w:r>
      <w:r>
        <w:rPr>
          <w:color w:val="333333"/>
        </w:rPr>
        <w:t xml:space="preserve"> 255.255.255.252 (provides 2 usable IP addresses per point-to-point link: .1 and .2).</w:t>
      </w:r>
    </w:p>
    <w:p>
      <w:pPr>
        <w:pStyle w:val="ListBullet"/>
        <w:spacing w:before="0" w:after="60"/>
      </w:pPr>
      <w:r>
        <w:rPr>
          <w:b/>
          <w:color w:val="182B49"/>
        </w:rPr>
        <w:t>10.10.10.0/30 Link:</w:t>
      </w:r>
      <w:r>
        <w:rPr>
          <w:color w:val="333333"/>
        </w:rPr>
        <w:t xml:space="preserve"> .1 on Bottom-Left Router (Se0/2/0) ↔ .2 on BRANCH-Router (Se0/2/0).</w:t>
      </w:r>
    </w:p>
    <w:p>
      <w:pPr>
        <w:pStyle w:val="ListBullet"/>
        <w:spacing w:before="0" w:after="60"/>
      </w:pPr>
      <w:r>
        <w:rPr>
          <w:b/>
          <w:color w:val="182B49"/>
        </w:rPr>
        <w:t>20.20.20.0/30 Link:</w:t>
      </w:r>
      <w:r>
        <w:rPr>
          <w:color w:val="333333"/>
        </w:rPr>
        <w:t xml:space="preserve"> .1 on Bottom-Left Router (Se0/3/1) ↔ .2 on ISP1 (Se0/3/1).</w:t>
      </w:r>
    </w:p>
    <w:p>
      <w:pPr>
        <w:pStyle w:val="ListBullet"/>
        <w:spacing w:before="0" w:after="60"/>
      </w:pPr>
      <w:r>
        <w:rPr>
          <w:b/>
          <w:color w:val="182B49"/>
        </w:rPr>
        <w:t>30.30.30.0/30 Link:</w:t>
      </w:r>
      <w:r>
        <w:rPr>
          <w:color w:val="333333"/>
        </w:rPr>
        <w:t xml:space="preserve"> .1 on ISP1 (Se0/2/0) ↔ .2 on Top-Right Router (Se0/3/1).</w:t>
      </w:r>
    </w:p>
    <w:p>
      <w:pPr>
        <w:pStyle w:val="ListBullet"/>
        <w:spacing w:before="0" w:after="60"/>
      </w:pPr>
      <w:r>
        <w:rPr>
          <w:b/>
          <w:color w:val="182B49"/>
        </w:rPr>
        <w:t>40.40.40.0/30 Link:</w:t>
      </w:r>
      <w:r>
        <w:rPr>
          <w:color w:val="333333"/>
        </w:rPr>
        <w:t xml:space="preserve"> .1 on BRANCH-Router (Se0/3/0) ↔ .2 on Top-Right Router (Se0/2/0).</w:t>
      </w:r>
    </w:p>
    <w:p>
      <w:pPr>
        <w:pStyle w:val="ListBullet"/>
        <w:spacing w:before="0" w:after="60"/>
      </w:pPr>
      <w:r>
        <w:rPr>
          <w:b/>
          <w:color w:val="182B49"/>
        </w:rPr>
        <w:t>50.50.50.0/30 Link:</w:t>
      </w:r>
      <w:r>
        <w:rPr>
          <w:color w:val="333333"/>
        </w:rPr>
        <w:t xml:space="preserve"> .1 on Top-Right Router (Se0/3/0) ↔ .2 on BRANCH-Router (Se0/3/1).</w:t>
      </w:r>
    </w:p>
    <w:p>
      <w:pPr>
        <w:pStyle w:val="ListBullet"/>
        <w:spacing w:before="0" w:after="60"/>
      </w:pPr>
      <w:r>
        <w:rPr>
          <w:b/>
          <w:color w:val="182B49"/>
        </w:rPr>
        <w:t>60.60.60.0/30 Link:</w:t>
      </w:r>
      <w:r>
        <w:rPr>
          <w:color w:val="333333"/>
        </w:rPr>
        <w:t xml:space="preserve"> .1 on ISP1 (Se0/3/0) ↔ .2 on Bottom-Left Router (Se0/3/0).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