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Descripción del tablero funcional</w:t>
      </w:r>
    </w:p>
    <w:p>
      <w:pPr>
        <w:spacing w:after="280" w:line="259" w:lineRule="auto"/>
        <w:jc w:val="center"/>
      </w:pPr>
      <w:r>
        <w:rPr>
          <w:b/>
        </w:rPr>
        <w:t>MAIA News Analyzer</w:t>
      </w:r>
    </w:p>
    <w:p>
      <w:pPr>
        <w:spacing w:after="140" w:line="259" w:lineRule="auto"/>
      </w:pPr>
      <w:r>
        <w:t>Este documento describe el tablero funcional de MAIA News Analyzer en su estado actual. La interfaz permite que una persona ingrese el título opcional y el cuerpo de una noticia, ejecute una predicción contra el servicio de backend y revise la orientación política estimada junto con sus probabilidades. El tablero también incorpora estados de operación para carga, errores, respuestas inválidas, resultados pendientes y predicciones con baja confianza, de modo que el usuario no confunda una salida incompleta con una conclusión del modelo.</w:t>
      </w:r>
    </w:p>
    <w:p>
      <w:pPr>
        <w:pStyle w:val="Heading1"/>
      </w:pPr>
      <w:r>
        <w:t>Propósito del tablero</w:t>
      </w:r>
    </w:p>
    <w:p>
      <w:pPr>
        <w:spacing w:after="140" w:line="259" w:lineRule="auto"/>
      </w:pPr>
      <w:r>
        <w:t>El tablero convierte el modelo de clasificación de perspectiva política en una experiencia operable dentro de una aplicación web. Su propósito es facilitar el flujo completo de análisis: recepción de la noticia, solicitud de predicción, presentación de la clase estimada y lectura de elementos de contexto. La pantalla está pensada para una validación clara del prototipo, no para exponer detalles internos de implementación al usuario final.</w:t>
      </w:r>
    </w:p>
    <w:p>
      <w:pPr>
        <w:pStyle w:val="Heading1"/>
      </w:pPr>
      <w:r>
        <w:t>Pantalla principal</w:t>
      </w:r>
    </w:p>
    <w:p>
      <w:pPr>
        <w:pStyle w:val="ListBullet"/>
        <w:spacing w:after="80" w:line="252" w:lineRule="auto"/>
      </w:pPr>
      <w:r>
        <w:t>El encabezado identifica el producto y ofrece acceso a la vista de exploración de datos.</w:t>
      </w:r>
    </w:p>
    <w:p>
      <w:pPr>
        <w:pStyle w:val="ListBullet"/>
        <w:spacing w:after="80" w:line="252" w:lineRule="auto"/>
      </w:pPr>
      <w:r>
        <w:t>Los indicadores superiores muestran el endpoint usado, el estado o clase estimada y la cantidad de análisis registrados.</w:t>
      </w:r>
    </w:p>
    <w:p>
      <w:pPr>
        <w:pStyle w:val="ListBullet"/>
        <w:spacing w:after="80" w:line="252" w:lineRule="auto"/>
      </w:pPr>
      <w:r>
        <w:t>El panel de entrada permite escribir o pegar el título y el texto completo de la noticia.</w:t>
      </w:r>
    </w:p>
    <w:p>
      <w:pPr>
        <w:pStyle w:val="ListBullet"/>
        <w:spacing w:after="80" w:line="252" w:lineRule="auto"/>
      </w:pPr>
      <w:r>
        <w:t>El panel de resultado permanece en estado pendiente hasta que se ejecute una predicción real.</w:t>
      </w:r>
    </w:p>
    <w:p>
      <w:pPr>
        <w:pStyle w:val="ListBullet"/>
        <w:spacing w:after="80" w:line="252" w:lineRule="auto"/>
      </w:pPr>
      <w:r>
        <w:t>Las secciones inferiores muestran cumplimiento del prototipo, variables explicativas e historial reciente cuando hay datos disponibles.</w:t>
      </w:r>
    </w:p>
    <w:p>
      <w:pPr>
        <w:pStyle w:val="Heading1"/>
      </w:pPr>
      <w:r>
        <w:t>Flujo funcional de predicción</w:t>
      </w:r>
    </w:p>
    <w:p>
      <w:pPr>
        <w:pStyle w:val="ListNumber"/>
        <w:spacing w:after="80" w:line="252" w:lineRule="auto"/>
      </w:pPr>
      <w:r>
        <w:t>El usuario ingresa el cuerpo de la noticia y, si lo desea, un título.</w:t>
      </w:r>
    </w:p>
    <w:p>
      <w:pPr>
        <w:pStyle w:val="ListNumber"/>
        <w:spacing w:after="80" w:line="252" w:lineRule="auto"/>
      </w:pPr>
      <w:r>
        <w:t>Al seleccionar la acción de predicción, la interfaz envía la solicitud al servicio del backend.</w:t>
      </w:r>
    </w:p>
    <w:p>
      <w:pPr>
        <w:pStyle w:val="ListNumber"/>
        <w:spacing w:after="80" w:line="252" w:lineRule="auto"/>
      </w:pPr>
      <w:r>
        <w:t>Mientras espera la respuesta, el tablero muestra el estado de consulta en curso.</w:t>
      </w:r>
    </w:p>
    <w:p>
      <w:pPr>
        <w:pStyle w:val="ListNumber"/>
        <w:spacing w:after="80" w:line="252" w:lineRule="auto"/>
      </w:pPr>
      <w:r>
        <w:t>Si la respuesta es válida, se muestran la clase dominante, el identificador de predicción, la clase reportada por la API y las probabilidades de LEFT, CENTER y RIGHT.</w:t>
      </w:r>
    </w:p>
    <w:p>
      <w:pPr>
        <w:pStyle w:val="ListNumber"/>
        <w:spacing w:after="80" w:line="252" w:lineRule="auto"/>
      </w:pPr>
      <w:r>
        <w:t>Si la confianza es baja, el tablero muestra una advertencia para que el usuario revise las probabilidades antes de interpretar el resultado como concluyente.</w:t>
      </w:r>
    </w:p>
    <w:p>
      <w:pPr>
        <w:pStyle w:val="Heading1"/>
      </w:pPr>
      <w:r>
        <w:t>Estados manejados por la interfaz</w:t>
      </w:r>
    </w:p>
    <w:tbl>
      <w:tblPr>
        <w:tblStyle w:val="TableGrid"/>
        <w:tblW w:type="auto" w:w="0"/>
        <w:tblLayout w:type="autofit"/>
        <w:tblLook w:firstColumn="1" w:firstRow="1" w:lastColumn="0" w:lastRow="0" w:noHBand="0" w:noVBand="1" w:val="04A0"/>
      </w:tblPr>
      <w:tblGrid>
        <w:gridCol w:w="3293"/>
        <w:gridCol w:w="3293"/>
        <w:gridCol w:w="3293"/>
      </w:tblGrid>
      <w:tr>
        <w:trPr>
          <w:cantSplit/>
        </w:trPr>
        <w:tc>
          <w:tcPr>
            <w:tcW w:type="dxa" w:w="2088"/>
            <w:shd w:fill="0F172A"/>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jc w:val="center"/>
            </w:pPr>
            <w:r>
              <w:rPr>
                <w:b/>
                <w:color w:val="FFFFFF"/>
                <w:sz w:val="19"/>
              </w:rPr>
              <w:t>Estado</w:t>
            </w:r>
          </w:p>
        </w:tc>
        <w:tc>
          <w:tcPr>
            <w:tcW w:type="dxa" w:w="3384"/>
            <w:shd w:fill="0F172A"/>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jc w:val="center"/>
            </w:pPr>
            <w:r>
              <w:rPr>
                <w:b/>
                <w:color w:val="FFFFFF"/>
                <w:sz w:val="19"/>
              </w:rPr>
              <w:t>Cómo se presenta</w:t>
            </w:r>
          </w:p>
        </w:tc>
        <w:tc>
          <w:tcPr>
            <w:tcW w:type="dxa" w:w="3672"/>
            <w:shd w:fill="0F172A"/>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jc w:val="center"/>
            </w:pPr>
            <w:r>
              <w:rPr>
                <w:b/>
                <w:color w:val="FFFFFF"/>
                <w:sz w:val="19"/>
              </w:rPr>
              <w:t>Finalidad</w:t>
            </w:r>
          </w:p>
        </w:tc>
      </w:tr>
      <w:tr>
        <w:trPr>
          <w:cantSplit/>
        </w:trPr>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jc w:val="center"/>
            </w:pPr>
            <w:r>
              <w:rPr>
                <w:sz w:val="18"/>
              </w:rPr>
              <w:t>Carga inicial</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sz w:val="18"/>
              </w:rPr>
              <w:t>Mensaje de carga mientras se obtienen los datos base del tablero.</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sz w:val="18"/>
              </w:rPr>
              <w:t>Evitar que el usuario vea una pantalla incompleta durante la conexión inicial.</w:t>
            </w:r>
          </w:p>
        </w:tc>
      </w:tr>
      <w:tr>
        <w:trPr>
          <w:cantSplit/>
        </w:trPr>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jc w:val="center"/>
            </w:pPr>
            <w:r>
              <w:rPr>
                <w:sz w:val="18"/>
              </w:rPr>
              <w:t>Error de carga</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pPr>
            <w:r>
              <w:rPr>
                <w:sz w:val="18"/>
              </w:rPr>
              <w:t>Mensaje de error con botón Reintentar.</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pPr>
            <w:r>
              <w:rPr>
                <w:sz w:val="18"/>
              </w:rPr>
              <w:t>Permitir recuperar la pantalla si el backend no estaba disponible o falló temporalmente.</w:t>
            </w:r>
          </w:p>
        </w:tc>
      </w:tr>
      <w:tr>
        <w:trPr>
          <w:cantSplit/>
        </w:trPr>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jc w:val="center"/>
            </w:pPr>
            <w:r>
              <w:rPr>
                <w:sz w:val="18"/>
              </w:rPr>
              <w:t>Predicción pendiente</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sz w:val="18"/>
              </w:rPr>
              <w:t>Panel de resultado con etiqueta Pendiente y mensaje Sin predicción ejecutada.</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sz w:val="18"/>
              </w:rPr>
              <w:t>Diferenciar claramente el estado inicial de una predicción real.</w:t>
            </w:r>
          </w:p>
        </w:tc>
      </w:tr>
      <w:tr>
        <w:trPr>
          <w:cantSplit/>
        </w:trPr>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jc w:val="center"/>
            </w:pPr>
            <w:r>
              <w:rPr>
                <w:sz w:val="18"/>
              </w:rPr>
              <w:t>Servicio consultando</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pPr>
            <w:r>
              <w:rPr>
                <w:sz w:val="18"/>
              </w:rPr>
              <w:t>Botones deshabilitados y mensaje Consultando servicio.</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pPr>
            <w:r>
              <w:rPr>
                <w:sz w:val="18"/>
              </w:rPr>
              <w:t>Indicar que la operación está en proceso y evitar envíos duplicados.</w:t>
            </w:r>
          </w:p>
        </w:tc>
      </w:tr>
      <w:tr>
        <w:trPr>
          <w:cantSplit/>
        </w:trPr>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jc w:val="center"/>
            </w:pPr>
            <w:r>
              <w:rPr>
                <w:sz w:val="18"/>
              </w:rPr>
              <w:t>Respuesta inválida</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sz w:val="18"/>
              </w:rPr>
              <w:t>Mensaje de error cuando faltan id, clase o probabilidades válidas.</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sz w:val="18"/>
              </w:rPr>
              <w:t>Impedir que el tablero represente datos incompletos como resultado del modelo.</w:t>
            </w:r>
          </w:p>
        </w:tc>
      </w:tr>
      <w:tr>
        <w:trPr>
          <w:cantSplit/>
        </w:trPr>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jc w:val="center"/>
            </w:pPr>
            <w:r>
              <w:rPr>
                <w:sz w:val="18"/>
              </w:rPr>
              <w:t>Baja confianza</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pPr>
            <w:r>
              <w:rPr>
                <w:sz w:val="18"/>
              </w:rPr>
              <w:t>Aviso destacado cuando la probabilidad más alta es menor al umbral del tablero.</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pPr>
            <w:r>
              <w:rPr>
                <w:sz w:val="18"/>
              </w:rPr>
              <w:t>Ayudar al usuario a interpretar el resultado con cautela.</w:t>
            </w:r>
          </w:p>
        </w:tc>
      </w:tr>
      <w:tr>
        <w:trPr>
          <w:cantSplit/>
        </w:trPr>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jc w:val="center"/>
            </w:pPr>
            <w:r>
              <w:rPr>
                <w:sz w:val="18"/>
              </w:rPr>
              <w:t>Datos vacíos</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sz w:val="18"/>
              </w:rPr>
              <w:t>Mensajes informativos en historial o variables explicativas cuando no hay registros.</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sz w:val="18"/>
              </w:rPr>
              <w:t>Mantener la interfaz legible aunque algunos conjuntos de datos aún no estén disponibles.</w:t>
            </w:r>
          </w:p>
        </w:tc>
      </w:tr>
    </w:tbl>
    <w:p/>
    <w:p>
      <w:pPr>
        <w:pStyle w:val="Heading1"/>
      </w:pPr>
      <w:r>
        <w:t>Visualización del resultado</w:t>
      </w:r>
    </w:p>
    <w:p>
      <w:pPr>
        <w:spacing w:after="140" w:line="259" w:lineRule="auto"/>
      </w:pPr>
      <w:r>
        <w:t>El resultado se presenta en dos niveles. Primero, el tablero destaca la clase dominante como la predicción principal. Segundo, muestra las probabilidades de las tres orientaciones para que el usuario pueda comparar la distribución de la salida. Esta representación evita depender únicamente de una etiqueta y permite identificar casos cercanos, especialmente cuando ninguna probabilidad domina con claridad.</w:t>
      </w:r>
    </w:p>
    <w:p>
      <w:pPr>
        <w:pStyle w:val="Heading1"/>
      </w:pPr>
      <w:r>
        <w:t>Vistas y elementos complementarios</w:t>
      </w:r>
    </w:p>
    <w:tbl>
      <w:tblPr>
        <w:tblStyle w:val="TableGrid"/>
        <w:tblW w:type="auto" w:w="0"/>
        <w:tblLayout w:type="autofit"/>
        <w:tblLook w:firstColumn="1" w:firstRow="1" w:lastColumn="0" w:lastRow="0" w:noHBand="0" w:noVBand="1" w:val="04A0"/>
      </w:tblPr>
      <w:tblGrid>
        <w:gridCol w:w="4939"/>
        <w:gridCol w:w="4939"/>
      </w:tblGrid>
      <w:tr>
        <w:trPr>
          <w:cantSplit/>
        </w:trPr>
        <w:tc>
          <w:tcPr>
            <w:tcW w:type="dxa" w:w="2664"/>
            <w:shd w:fill="E0F2FE"/>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jc w:val="center"/>
            </w:pPr>
            <w:r>
              <w:rPr>
                <w:b/>
                <w:color w:val="000000"/>
                <w:sz w:val="19"/>
              </w:rPr>
              <w:t>Elemento</w:t>
            </w:r>
          </w:p>
        </w:tc>
        <w:tc>
          <w:tcPr>
            <w:tcW w:type="dxa" w:w="6552"/>
            <w:shd w:fill="E0F2FE"/>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jc w:val="center"/>
            </w:pPr>
            <w:r>
              <w:rPr>
                <w:b/>
                <w:color w:val="000000"/>
                <w:sz w:val="19"/>
              </w:rPr>
              <w:t>Función para el usuario</w:t>
            </w:r>
          </w:p>
        </w:tc>
      </w:tr>
      <w:tr>
        <w:trPr>
          <w:cantSplit/>
        </w:trPr>
        <w:tc>
          <w:tcPr>
            <w:tcW w:type="dxa" w:w="493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jc w:val="center"/>
            </w:pPr>
            <w:r>
              <w:rPr>
                <w:sz w:val="18"/>
              </w:rPr>
              <w:t>Explorar datos</w:t>
            </w:r>
          </w:p>
        </w:tc>
        <w:tc>
          <w:tcPr>
            <w:tcW w:type="dxa" w:w="493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sz w:val="18"/>
              </w:rPr>
              <w:t>Permite consultar artículos por tema, fuente, orientación o fecha desde una vista separada.</w:t>
            </w:r>
          </w:p>
        </w:tc>
      </w:tr>
      <w:tr>
        <w:trPr>
          <w:cantSplit/>
        </w:trPr>
        <w:tc>
          <w:tcPr>
            <w:tcW w:type="dxa" w:w="493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jc w:val="center"/>
            </w:pPr>
            <w:r>
              <w:rPr>
                <w:sz w:val="18"/>
              </w:rPr>
              <w:t>Historial reciente</w:t>
            </w:r>
          </w:p>
        </w:tc>
        <w:tc>
          <w:tcPr>
            <w:tcW w:type="dxa" w:w="493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pPr>
            <w:r>
              <w:rPr>
                <w:sz w:val="18"/>
              </w:rPr>
              <w:t>Muestra análisis anteriores cuando existen registros disponibles.</w:t>
            </w:r>
          </w:p>
        </w:tc>
      </w:tr>
      <w:tr>
        <w:trPr>
          <w:cantSplit/>
        </w:trPr>
        <w:tc>
          <w:tcPr>
            <w:tcW w:type="dxa" w:w="493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jc w:val="center"/>
            </w:pPr>
            <w:r>
              <w:rPr>
                <w:sz w:val="18"/>
              </w:rPr>
              <w:t>Variables explicativas</w:t>
            </w:r>
          </w:p>
        </w:tc>
        <w:tc>
          <w:tcPr>
            <w:tcW w:type="dxa" w:w="493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sz w:val="18"/>
              </w:rPr>
              <w:t>Presenta expresiones o rasgos que ayudan a contextualizar la predicción.</w:t>
            </w:r>
          </w:p>
        </w:tc>
      </w:tr>
      <w:tr>
        <w:trPr>
          <w:cantSplit/>
        </w:trPr>
        <w:tc>
          <w:tcPr>
            <w:tcW w:type="dxa" w:w="493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jc w:val="center"/>
            </w:pPr>
            <w:r>
              <w:rPr>
                <w:sz w:val="18"/>
              </w:rPr>
              <w:t>Favoritos</w:t>
            </w:r>
          </w:p>
        </w:tc>
        <w:tc>
          <w:tcPr>
            <w:tcW w:type="dxa" w:w="493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pPr>
            <w:r>
              <w:rPr>
                <w:sz w:val="18"/>
              </w:rPr>
              <w:t>Organiza artículos guardados por el usuario para consulta posterior.</w:t>
            </w:r>
          </w:p>
        </w:tc>
      </w:tr>
      <w:tr>
        <w:trPr>
          <w:cantSplit/>
        </w:trPr>
        <w:tc>
          <w:tcPr>
            <w:tcW w:type="dxa" w:w="493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jc w:val="center"/>
            </w:pPr>
            <w:r>
              <w:rPr>
                <w:sz w:val="18"/>
              </w:rPr>
              <w:t>Perfil</w:t>
            </w:r>
          </w:p>
        </w:tc>
        <w:tc>
          <w:tcPr>
            <w:tcW w:type="dxa" w:w="493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sz w:val="18"/>
              </w:rPr>
              <w:t>Muestra información básica del usuario y estadísticas de uso.</w:t>
            </w:r>
          </w:p>
        </w:tc>
      </w:tr>
      <w:tr>
        <w:trPr>
          <w:cantSplit/>
        </w:trPr>
        <w:tc>
          <w:tcPr>
            <w:tcW w:type="dxa" w:w="493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jc w:val="center"/>
            </w:pPr>
            <w:r>
              <w:rPr>
                <w:sz w:val="18"/>
              </w:rPr>
              <w:t>Flujo por URL</w:t>
            </w:r>
          </w:p>
        </w:tc>
        <w:tc>
          <w:tcPr>
            <w:tcW w:type="dxa" w:w="493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pPr>
            <w:r>
              <w:rPr>
                <w:sz w:val="18"/>
              </w:rPr>
              <w:t>Permite probar un flujo alternativo de análisis mediante una dirección de noticia.</w:t>
            </w:r>
          </w:p>
        </w:tc>
      </w:tr>
    </w:tbl>
    <w:p/>
    <w:p>
      <w:pPr>
        <w:pStyle w:val="Heading1"/>
      </w:pPr>
      <w:r>
        <w:t>Relación con los requisitos de la entrega</w:t>
      </w:r>
    </w:p>
    <w:tbl>
      <w:tblPr>
        <w:tblStyle w:val="TableGrid"/>
        <w:tblW w:type="auto" w:w="0"/>
        <w:tblLayout w:type="autofit"/>
        <w:tblLook w:firstColumn="1" w:firstRow="1" w:lastColumn="0" w:lastRow="0" w:noHBand="0" w:noVBand="1" w:val="04A0"/>
      </w:tblPr>
      <w:tblGrid>
        <w:gridCol w:w="3293"/>
        <w:gridCol w:w="3293"/>
        <w:gridCol w:w="3293"/>
      </w:tblGrid>
      <w:tr>
        <w:trPr>
          <w:cantSplit/>
        </w:trPr>
        <w:tc>
          <w:tcPr>
            <w:tcW w:type="dxa" w:w="2448"/>
            <w:shd w:fill="1F293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jc w:val="center"/>
            </w:pPr>
            <w:r>
              <w:rPr>
                <w:b/>
                <w:color w:val="FFFFFF"/>
                <w:sz w:val="19"/>
              </w:rPr>
              <w:t>Requisito</w:t>
            </w:r>
          </w:p>
        </w:tc>
        <w:tc>
          <w:tcPr>
            <w:tcW w:type="dxa" w:w="5256"/>
            <w:shd w:fill="1F293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jc w:val="center"/>
            </w:pPr>
            <w:r>
              <w:rPr>
                <w:b/>
                <w:color w:val="FFFFFF"/>
                <w:sz w:val="19"/>
              </w:rPr>
              <w:t>Evidencia en el tablero</w:t>
            </w:r>
          </w:p>
        </w:tc>
        <w:tc>
          <w:tcPr>
            <w:tcW w:type="dxa" w:w="1512"/>
            <w:shd w:fill="1F293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jc w:val="center"/>
            </w:pPr>
            <w:r>
              <w:rPr>
                <w:b/>
                <w:color w:val="FFFFFF"/>
                <w:sz w:val="19"/>
              </w:rPr>
              <w:t>Estado</w:t>
            </w:r>
          </w:p>
        </w:tc>
      </w:tr>
      <w:tr>
        <w:trPr>
          <w:cantSplit/>
        </w:trPr>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jc w:val="center"/>
            </w:pPr>
            <w:r>
              <w:rPr>
                <w:sz w:val="18"/>
              </w:rPr>
              <w:t>Predicciones desde la API</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sz w:val="18"/>
              </w:rPr>
              <w:t>La pantalla principal ejecuta la acción de predicción contra el servicio de backend.</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sz w:val="18"/>
              </w:rPr>
              <w:t>Cubierto en interfaz</w:t>
            </w:r>
          </w:p>
        </w:tc>
      </w:tr>
      <w:tr>
        <w:trPr>
          <w:cantSplit/>
        </w:trPr>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jc w:val="center"/>
            </w:pPr>
            <w:r>
              <w:rPr>
                <w:sz w:val="18"/>
              </w:rPr>
              <w:t>Manejo de errores</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pPr>
            <w:r>
              <w:rPr>
                <w:sz w:val="18"/>
              </w:rPr>
              <w:t>La interfaz muestra mensajes claros y opciones de reintento para carga y predicción.</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pPr>
            <w:r>
              <w:rPr>
                <w:sz w:val="18"/>
              </w:rPr>
              <w:t>Cubierto</w:t>
            </w:r>
          </w:p>
        </w:tc>
      </w:tr>
      <w:tr>
        <w:trPr>
          <w:cantSplit/>
        </w:trPr>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jc w:val="center"/>
            </w:pPr>
            <w:r>
              <w:rPr>
                <w:sz w:val="18"/>
              </w:rPr>
              <w:t>Baja confianza</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sz w:val="18"/>
              </w:rPr>
              <w:t>El resultado incluye una advertencia cuando la probabilidad dominante no supera el umbral configurado.</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sz w:val="18"/>
              </w:rPr>
              <w:t>Cubierto</w:t>
            </w:r>
          </w:p>
        </w:tc>
      </w:tr>
      <w:tr>
        <w:trPr>
          <w:cantSplit/>
        </w:trPr>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jc w:val="center"/>
            </w:pPr>
            <w:r>
              <w:rPr>
                <w:sz w:val="18"/>
              </w:rPr>
              <w:t>Respuestas inválidas</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pPr>
            <w:r>
              <w:rPr>
                <w:sz w:val="18"/>
              </w:rPr>
              <w:t>El frontend valida que la respuesta contenga identificador, clase y probabilidades numéricas.</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pPr>
            <w:r>
              <w:rPr>
                <w:sz w:val="18"/>
              </w:rPr>
              <w:t>Cubierto</w:t>
            </w:r>
          </w:p>
        </w:tc>
      </w:tr>
      <w:tr>
        <w:trPr>
          <w:cantSplit/>
        </w:trPr>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jc w:val="center"/>
            </w:pPr>
            <w:r>
              <w:rPr>
                <w:sz w:val="18"/>
              </w:rPr>
              <w:t>Datos relevantes</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sz w:val="18"/>
              </w:rPr>
              <w:t>Se muestran probabilidades, historial, variables explicativas, exploración y perfil.</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sz w:val="18"/>
              </w:rPr>
              <w:t>Cubierto</w:t>
            </w:r>
          </w:p>
        </w:tc>
      </w:tr>
      <w:tr>
        <w:trPr>
          <w:cantSplit/>
        </w:trPr>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jc w:val="center"/>
            </w:pPr>
            <w:r>
              <w:rPr>
                <w:sz w:val="18"/>
              </w:rPr>
              <w:t>Documentación para usuarios</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pPr>
            <w:r>
              <w:rPr>
                <w:sz w:val="18"/>
              </w:rPr>
              <w:t>Se genera un manual de usuario independiente en la carpeta docs.</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pPr>
            <w:r>
              <w:rPr>
                <w:sz w:val="18"/>
              </w:rPr>
              <w:t>Cubierto</w:t>
            </w:r>
          </w:p>
        </w:tc>
      </w:tr>
    </w:tbl>
    <w:p/>
    <w:p>
      <w:pPr>
        <w:pStyle w:val="Heading1"/>
      </w:pPr>
      <w:r>
        <w:t>Conclusión</w:t>
      </w:r>
    </w:p>
    <w:p>
      <w:pPr>
        <w:spacing w:after="140" w:line="259" w:lineRule="auto"/>
      </w:pPr>
      <w:r>
        <w:t>El tablero funcional de MAIA News Analyzer ofrece una experiencia completa para operar el prototipo de análisis de noticias. La interfaz ya no depende de un resultado visual de ejemplo para representar la salida principal: diferencia el estado pendiente, valida la respuesta recibida, advierte sobre baja confianza y ofrece caminos de recuperación ante errores. Con esto, el tablero presenta la predicción del modelo de una forma más confiable y comprensible para el usuario.</w:t>
      </w:r>
    </w:p>
    <w:sectPr w:rsidR="00FC693F" w:rsidRPr="0006063C" w:rsidSect="00034616">
      <w:pgSz w:w="12240" w:h="15840"/>
      <w:pgMar w:top="1123"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ptos" w:hAnsi="Aptos"/>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w:hAnsi="Aptos"/>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