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Descripción del tablero funcional</w:t>
      </w:r>
    </w:p>
    <w:p>
      <w:pPr>
        <w:spacing w:after="280" w:line="259" w:lineRule="auto"/>
        <w:jc w:val="center"/>
      </w:pPr>
      <w:r>
        <w:rPr>
          <w:b/>
        </w:rPr>
        <w:t>MAIA News Analyzer</w:t>
      </w:r>
    </w:p>
    <w:p>
      <w:pPr>
        <w:spacing w:after="120" w:line="259" w:lineRule="auto"/>
      </w:pPr>
      <w:r>
        <w:t>Este documento describe la funcionalidad del dashboard desarrollado para el prototipo MAIA News Analyzer. El tablero permite que un usuario ingrese una noticia, ejecute una predicción mediante el backend y revise la orientación política estimada junto con probabilidades y elementos de contexto. Su objetivo es convertir el modelo analítico en una herramienta usable dentro de una aplicación web.</w:t>
      </w:r>
    </w:p>
    <w:p>
      <w:pPr>
        <w:pStyle w:val="Heading1"/>
      </w:pPr>
      <w:r>
        <w:t>Propósito del tablero</w:t>
      </w:r>
    </w:p>
    <w:p>
      <w:pPr>
        <w:spacing w:after="120" w:line="259" w:lineRule="auto"/>
      </w:pPr>
      <w:r>
        <w:t>El tablero responde a la necesidad de analizar noticias desde una interfaz clara para el usuario final. En lugar de limitarse a mostrar una maqueta estática, la pantalla principal conecta el frontend con la API del backend y presenta una salida interpretable del modelo. Esto permite validar el flujo completo del producto: entrada de datos, procesamiento, inferencia y visualización del resultado.</w:t>
      </w:r>
    </w:p>
    <w:p>
      <w:pPr>
        <w:pStyle w:val="Heading1"/>
      </w:pPr>
      <w:r>
        <w:t>Flujo funcional</w:t>
      </w:r>
    </w:p>
    <w:p>
      <w:pPr>
        <w:pStyle w:val="ListBullet"/>
        <w:spacing w:after="80" w:line="252" w:lineRule="auto"/>
      </w:pPr>
      <w:r>
        <w:t>El usuario ingresa el titulo opcional y el cuerpo completo de la noticia en el formulario del dashboard.</w:t>
      </w:r>
    </w:p>
    <w:p>
      <w:pPr>
        <w:pStyle w:val="ListBullet"/>
        <w:spacing w:after="80" w:line="252" w:lineRule="auto"/>
      </w:pPr>
      <w:r>
        <w:t>Al seleccionar la acción de predicción, el frontend envía la información al endpoint POST /api/predict.</w:t>
      </w:r>
    </w:p>
    <w:p>
      <w:pPr>
        <w:pStyle w:val="ListBullet"/>
        <w:spacing w:after="80" w:line="252" w:lineRule="auto"/>
      </w:pPr>
      <w:r>
        <w:t>El backend procesa la solicitud y devuelve un identificador de resultado, una clase estimada y probabilidades para CENTER, LEFT y RIGHT.</w:t>
      </w:r>
    </w:p>
    <w:p>
      <w:pPr>
        <w:pStyle w:val="ListBullet"/>
        <w:spacing w:after="80" w:line="252" w:lineRule="auto"/>
      </w:pPr>
      <w:r>
        <w:t>El dashboard muestra la orientación dominante, el porcentaje de confianza calculado a partir de las probabilidades y las barras comparativas por clase.</w:t>
      </w:r>
    </w:p>
    <w:p>
      <w:pPr>
        <w:pStyle w:val="ListBullet"/>
        <w:spacing w:after="80" w:line="252" w:lineRule="auto"/>
      </w:pPr>
      <w:r>
        <w:t>La interfaz conserva datos de apoyo como historial reciente, variables explicativas y acceso a vistas de exploración para dar contexto al resultado.</w:t>
      </w:r>
    </w:p>
    <w:p>
      <w:pPr>
        <w:pStyle w:val="Heading1"/>
      </w:pPr>
      <w:r>
        <w:t>Conexión con el backend</w:t>
      </w:r>
    </w:p>
    <w:p>
      <w:pPr>
        <w:spacing w:after="120" w:line="259" w:lineRule="auto"/>
      </w:pPr>
      <w:r>
        <w:t>La funcionalidad principal del dashboard se apoya en el endpoint POST /api/predict. El frontend envía un objeto JSON con los campos titulo y texto, donde texto corresponde al cuerpo de la noticia. La respuesta esperada incluye un id de predicción, la clase reportada por la API y el objeto probabilidades con los valores center, left y right. Esta integración evidencia que el tablero emplea el modelo a través de una API, tal como se solicita para el prototipo funcional.</w:t>
      </w:r>
    </w:p>
    <w:p>
      <w:pPr>
        <w:pStyle w:val="Heading1"/>
      </w:pPr>
      <w:r>
        <w:t>Visualización del resultado</w:t>
      </w:r>
    </w:p>
    <w:p>
      <w:pPr>
        <w:spacing w:after="120" w:line="259" w:lineRule="auto"/>
      </w:pPr>
      <w:r>
        <w:t>La salida del modelo se presenta de forma orientada al usuario. El dashboard destaca la clase dominante como resultado principal y muestra las probabilidades en barras para comparar las tres orientaciónes. Esta decisión evita que el usuario dependa de una etiqueta aislada y le permite interpretar el nivel de seguridad del modelo. El identificador de predicción también queda visible para facilitar trazabilidad técnica durante pruebas y demostraciones.</w:t>
      </w:r>
    </w:p>
    <w:p>
      <w:pPr>
        <w:pStyle w:val="Heading1"/>
      </w:pPr>
      <w:r>
        <w:t>Elementos de contexto</w:t>
      </w:r>
    </w:p>
    <w:p>
      <w:pPr>
        <w:pStyle w:val="ListBullet"/>
        <w:spacing w:after="80" w:line="252" w:lineRule="auto"/>
      </w:pPr>
      <w:r>
        <w:t>Historial reciente de análisis para mostrar que el producto puede organizar consultas anteriores.</w:t>
      </w:r>
    </w:p>
    <w:p>
      <w:pPr>
        <w:pStyle w:val="ListBullet"/>
        <w:spacing w:after="80" w:line="252" w:lineRule="auto"/>
      </w:pPr>
      <w:r>
        <w:t>Variables explicativas asociadas a expresiones relevantes, útiles para justificar la predicción del modelo.</w:t>
      </w:r>
    </w:p>
    <w:p>
      <w:pPr>
        <w:pStyle w:val="ListBullet"/>
        <w:spacing w:after="80" w:line="252" w:lineRule="auto"/>
      </w:pPr>
      <w:r>
        <w:t>Sección de exploración para consultar noticias por tema, fuente u orientación.</w:t>
      </w:r>
    </w:p>
    <w:p>
      <w:pPr>
        <w:pStyle w:val="ListBullet"/>
        <w:spacing w:after="80" w:line="252" w:lineRule="auto"/>
      </w:pPr>
      <w:r>
        <w:t>Indicadores del prototipo, incluyendo endpoint usado, clase estimada y análisis registrados.</w:t>
      </w:r>
    </w:p>
    <w:p>
      <w:pPr>
        <w:pStyle w:val="Heading1"/>
      </w:pPr>
      <w:r>
        <w:t>Relación con los requisitos de la entrega</w:t>
      </w:r>
    </w:p>
    <w:tbl>
      <w:tblPr>
        <w:tblStyle w:val="TableGrid"/>
        <w:tblW w:type="auto" w:w="0"/>
        <w:tblLook w:firstColumn="1" w:firstRow="1" w:lastColumn="0" w:lastRow="0" w:noHBand="0" w:noVBand="1" w:val="04A0"/>
      </w:tblPr>
      <w:tblGrid>
        <w:gridCol w:w="3264"/>
        <w:gridCol w:w="3264"/>
        <w:gridCol w:w="3264"/>
      </w:tblGrid>
      <w:tr>
        <w:tc>
          <w:tcPr>
            <w:tcW w:type="dxa" w:w="3264"/>
            <w:shd w:fill="1F293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jc w:val="center"/>
            </w:pPr>
            <w:r>
              <w:rPr>
                <w:b/>
                <w:color w:val="FFFFFF"/>
              </w:rPr>
              <w:t>Requisito</w:t>
            </w:r>
          </w:p>
        </w:tc>
        <w:tc>
          <w:tcPr>
            <w:tcW w:type="dxa" w:w="3264"/>
            <w:shd w:fill="1F293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jc w:val="center"/>
            </w:pPr>
            <w:r>
              <w:rPr>
                <w:b/>
                <w:color w:val="FFFFFF"/>
              </w:rPr>
              <w:t>Evidencia en el dashboard</w:t>
            </w:r>
          </w:p>
        </w:tc>
        <w:tc>
          <w:tcPr>
            <w:tcW w:type="dxa" w:w="3264"/>
            <w:shd w:fill="1F293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jc w:val="center"/>
            </w:pPr>
            <w:r>
              <w:rPr>
                <w:b/>
                <w:color w:val="FFFFFF"/>
              </w:rPr>
              <w:t>Estado</w:t>
            </w:r>
          </w:p>
        </w:tc>
      </w:tr>
      <w:tr>
        <w:tc>
          <w:tcPr>
            <w:tcW w:type="dxa" w:w="326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tcPr>
          <w:p>
            <w:pPr>
              <w:spacing w:after="0" w:line="252" w:lineRule="auto"/>
            </w:pPr>
            <w:r>
              <w:rPr>
                <w:sz w:val="20"/>
              </w:rPr>
              <w:t>Emplear el modelo a través de la API</w:t>
            </w:r>
          </w:p>
        </w:tc>
        <w:tc>
          <w:tcPr>
            <w:tcW w:type="dxa" w:w="326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tcPr>
          <w:p>
            <w:pPr>
              <w:spacing w:after="0" w:line="252" w:lineRule="auto"/>
            </w:pPr>
            <w:r>
              <w:rPr>
                <w:sz w:val="20"/>
              </w:rPr>
              <w:t>El formulario principal consume POST /api/predict desde el frontend.</w:t>
            </w:r>
          </w:p>
        </w:tc>
        <w:tc>
          <w:tcPr>
            <w:tcW w:type="dxa" w:w="326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tcPr>
          <w:p>
            <w:pPr>
              <w:spacing w:after="0" w:line="252" w:lineRule="auto"/>
              <w:jc w:val="center"/>
            </w:pPr>
            <w:r>
              <w:rPr>
                <w:sz w:val="20"/>
              </w:rPr>
              <w:t>Cubierto</w:t>
            </w:r>
          </w:p>
        </w:tc>
      </w:tr>
      <w:tr>
        <w:tc>
          <w:tcPr>
            <w:tcW w:type="dxa" w:w="326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8FAFC"/>
            <w:vAlign w:val="center"/>
          </w:tcPr>
          <w:p>
            <w:pPr>
              <w:spacing w:after="0" w:line="252" w:lineRule="auto"/>
            </w:pPr>
            <w:r>
              <w:rPr>
                <w:sz w:val="20"/>
              </w:rPr>
              <w:t>Incluir predicciónes del modelo</w:t>
            </w:r>
          </w:p>
        </w:tc>
        <w:tc>
          <w:tcPr>
            <w:tcW w:type="dxa" w:w="326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8FAFC"/>
            <w:vAlign w:val="center"/>
          </w:tcPr>
          <w:p>
            <w:pPr>
              <w:spacing w:after="0" w:line="252" w:lineRule="auto"/>
            </w:pPr>
            <w:r>
              <w:rPr>
                <w:sz w:val="20"/>
              </w:rPr>
              <w:t>Se visualiza la clase estimada y las probabilidades para LEFT, CENTER y RIGHT.</w:t>
            </w:r>
          </w:p>
        </w:tc>
        <w:tc>
          <w:tcPr>
            <w:tcW w:type="dxa" w:w="326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8FAFC"/>
            <w:vAlign w:val="center"/>
          </w:tcPr>
          <w:p>
            <w:pPr>
              <w:spacing w:after="0" w:line="252" w:lineRule="auto"/>
              <w:jc w:val="center"/>
            </w:pPr>
            <w:r>
              <w:rPr>
                <w:sz w:val="20"/>
              </w:rPr>
              <w:t>Cubierto</w:t>
            </w:r>
          </w:p>
        </w:tc>
      </w:tr>
      <w:tr>
        <w:tc>
          <w:tcPr>
            <w:tcW w:type="dxa" w:w="326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tcPr>
          <w:p>
            <w:pPr>
              <w:spacing w:after="0" w:line="252" w:lineRule="auto"/>
            </w:pPr>
            <w:r>
              <w:rPr>
                <w:sz w:val="20"/>
              </w:rPr>
              <w:t>Visualizar datos relevantes para el usuario</w:t>
            </w:r>
          </w:p>
        </w:tc>
        <w:tc>
          <w:tcPr>
            <w:tcW w:type="dxa" w:w="326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tcPr>
          <w:p>
            <w:pPr>
              <w:spacing w:after="0" w:line="252" w:lineRule="auto"/>
            </w:pPr>
            <w:r>
              <w:rPr>
                <w:sz w:val="20"/>
              </w:rPr>
              <w:t>Incluye historial, variables explicativas, exploración e indicadores del prototipo.</w:t>
            </w:r>
          </w:p>
        </w:tc>
        <w:tc>
          <w:tcPr>
            <w:tcW w:type="dxa" w:w="326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tcPr>
          <w:p>
            <w:pPr>
              <w:spacing w:after="0" w:line="252" w:lineRule="auto"/>
              <w:jc w:val="center"/>
            </w:pPr>
            <w:r>
              <w:rPr>
                <w:sz w:val="20"/>
              </w:rPr>
              <w:t>Cubierto</w:t>
            </w:r>
          </w:p>
        </w:tc>
      </w:tr>
      <w:tr>
        <w:tc>
          <w:tcPr>
            <w:tcW w:type="dxa" w:w="326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8FAFC"/>
            <w:vAlign w:val="center"/>
          </w:tcPr>
          <w:p>
            <w:pPr>
              <w:spacing w:after="0" w:line="252" w:lineRule="auto"/>
            </w:pPr>
            <w:r>
              <w:rPr>
                <w:sz w:val="20"/>
              </w:rPr>
              <w:t>Interfaz adecuada para el usuario</w:t>
            </w:r>
          </w:p>
        </w:tc>
        <w:tc>
          <w:tcPr>
            <w:tcW w:type="dxa" w:w="326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8FAFC"/>
            <w:vAlign w:val="center"/>
          </w:tcPr>
          <w:p>
            <w:pPr>
              <w:spacing w:after="0" w:line="252" w:lineRule="auto"/>
            </w:pPr>
            <w:r>
              <w:rPr>
                <w:sz w:val="20"/>
              </w:rPr>
              <w:t>La pantalla prioriza entrada, resultado y contexto en un layout web responsive.</w:t>
            </w:r>
          </w:p>
        </w:tc>
        <w:tc>
          <w:tcPr>
            <w:tcW w:type="dxa" w:w="326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8FAFC"/>
            <w:vAlign w:val="center"/>
          </w:tcPr>
          <w:p>
            <w:pPr>
              <w:spacing w:after="0" w:line="252" w:lineRule="auto"/>
              <w:jc w:val="center"/>
            </w:pPr>
            <w:r>
              <w:rPr>
                <w:sz w:val="20"/>
              </w:rPr>
              <w:t>Cubierto</w:t>
            </w:r>
          </w:p>
        </w:tc>
      </w:tr>
      <w:tr>
        <w:tc>
          <w:tcPr>
            <w:tcW w:type="dxa" w:w="326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tcPr>
          <w:p>
            <w:pPr>
              <w:spacing w:after="0" w:line="252" w:lineRule="auto"/>
            </w:pPr>
            <w:r>
              <w:rPr>
                <w:sz w:val="20"/>
              </w:rPr>
              <w:t>Despliegue con contenedores Docker</w:t>
            </w:r>
          </w:p>
        </w:tc>
        <w:tc>
          <w:tcPr>
            <w:tcW w:type="dxa" w:w="326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tcPr>
          <w:p>
            <w:pPr>
              <w:spacing w:after="0" w:line="252" w:lineRule="auto"/>
            </w:pPr>
            <w:r>
              <w:rPr>
                <w:sz w:val="20"/>
              </w:rPr>
              <w:t>El proyecto mantiene separacion frontend/backend y puede ejecutarse con docker compose.</w:t>
            </w:r>
          </w:p>
        </w:tc>
        <w:tc>
          <w:tcPr>
            <w:tcW w:type="dxa" w:w="326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vAlign w:val="center"/>
          </w:tcPr>
          <w:p>
            <w:pPr>
              <w:spacing w:after="0" w:line="252" w:lineRule="auto"/>
              <w:jc w:val="center"/>
            </w:pPr>
            <w:r>
              <w:rPr>
                <w:sz w:val="20"/>
              </w:rPr>
              <w:t>Por verificar en ambiente final</w:t>
            </w:r>
          </w:p>
        </w:tc>
      </w:tr>
    </w:tbl>
    <w:p>
      <w:pPr>
        <w:pStyle w:val="Heading1"/>
      </w:pPr>
      <w:r>
        <w:t>Respuesta a la pregunta de negocio</w:t>
      </w:r>
    </w:p>
    <w:p>
      <w:pPr>
        <w:spacing w:after="120" w:line="259" w:lineRule="auto"/>
      </w:pPr>
      <w:r>
        <w:t>El dashboard contribuye a la pregunta de negocio al permitir identificar de manera rápida la perspectiva política predominante en una noticia y ofrecer información adicional para interpretar ese resultado. Para un usuario que consume noticias, la aplicación ayuda a detectar posibles sesgos, comparar orientaciónes y revisar evidencia antes de formar una conclusión. Por esta razón, el tablero no solo presenta una predicción técnica, sino que traduce la salida del modelo en una experiencia útil para la toma de decisiónes informadas.</w:t>
      </w:r>
    </w:p>
    <w:p>
      <w:pPr>
        <w:pStyle w:val="Heading1"/>
      </w:pPr>
      <w:r>
        <w:t>Conclusión</w:t>
      </w:r>
    </w:p>
    <w:p>
      <w:pPr>
        <w:spacing w:after="120" w:line="259" w:lineRule="auto"/>
      </w:pPr>
      <w:r>
        <w:t>El tablero funcional de MAIA News Analyzer integra el frontend, la API y la salida del modelo en una aplicación web navegable. Su valor principal es hacer operativo el modelo de clasificación de perspectiva política: el usuario puede ingresar una noticia, ejecutar una inferencia, revisar probabilidades y consultar elementos de contexto. Con esto, el dashboard cumple la parte central solicitada para el tablero desarrollado en la segunda entrega.</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w:hAnsi="Aptos"/>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w:hAnsi="Apto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