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Descripción del tablero funcional</w:t>
      </w:r>
    </w:p>
    <w:p>
      <w:pPr>
        <w:spacing w:after="280" w:line="259" w:lineRule="auto"/>
        <w:jc w:val="center"/>
      </w:pPr>
      <w:r>
        <w:rPr>
          <w:b/>
        </w:rPr>
        <w:t>MAIA News Analyzer</w:t>
      </w:r>
    </w:p>
    <w:p>
      <w:pPr>
        <w:spacing w:after="140" w:line="259" w:lineRule="auto"/>
      </w:pPr>
      <w:r>
        <w:t>Este documento describe el tablero funcional de MAIA News Analyzer en su estado actual. La interfaz permite que una persona ingrese el título opcional y el cuerpo de una noticia, ejecute una predicción contra el servicio de backend y revise la orientación política estimada junto con sus probabilidades. El tablero también incorpora estados de operación para carga, errores, respuestas inválidas, resultados pendientes y predicciones con baja confianza, de modo que el usuario no confunda una salida incompleta con una conclusión del modelo.</w:t>
      </w:r>
    </w:p>
    <w:p>
      <w:pPr>
        <w:pStyle w:val="Heading1"/>
      </w:pPr>
      <w:r>
        <w:t>Propósito del tablero</w:t>
      </w:r>
    </w:p>
    <w:p>
      <w:pPr>
        <w:spacing w:after="140" w:line="259" w:lineRule="auto"/>
      </w:pPr>
      <w:r>
        <w:t>El tablero convierte el modelo de clasificación de perspectiva política en una experiencia operable dentro de una aplicación web. Su propósito es facilitar el flujo completo de análisis: recepción de la noticia, solicitud de predicción, presentación de la clase estimada y lectura de elementos de contexto. La pantalla está pensada para una validación clara del prototipo, no para exponer detalles internos de implementación al usuario final.</w:t>
      </w:r>
    </w:p>
    <w:p>
      <w:pPr>
        <w:pStyle w:val="Heading1"/>
      </w:pPr>
      <w:r>
        <w:t>Pantalla principal</w:t>
      </w:r>
    </w:p>
    <w:p>
      <w:pPr>
        <w:pStyle w:val="ListBullet"/>
        <w:spacing w:after="80" w:line="252" w:lineRule="auto"/>
      </w:pPr>
      <w:r>
        <w:t>El encabezado identifica el producto y ofrece acceso a la vista de exploración de datos.</w:t>
      </w:r>
    </w:p>
    <w:p>
      <w:pPr>
        <w:pStyle w:val="ListBullet"/>
        <w:spacing w:after="80" w:line="252" w:lineRule="auto"/>
      </w:pPr>
      <w:r>
        <w:t>Los indicadores superiores muestran el endpoint usado, el estado o clase estimada y la cantidad de análisis registrados.</w:t>
      </w:r>
    </w:p>
    <w:p>
      <w:pPr>
        <w:pStyle w:val="ListBullet"/>
        <w:spacing w:after="80" w:line="252" w:lineRule="auto"/>
      </w:pPr>
      <w:r>
        <w:t>El panel de entrada permite escribir o pegar el título y el texto completo de la noticia.</w:t>
      </w:r>
    </w:p>
    <w:p>
      <w:pPr>
        <w:pStyle w:val="ListBullet"/>
        <w:spacing w:after="80" w:line="252" w:lineRule="auto"/>
      </w:pPr>
      <w:r>
        <w:t>El panel de resultado permanece en estado pendiente hasta que se ejecute una predicción real.</w:t>
      </w:r>
    </w:p>
    <w:p>
      <w:pPr>
        <w:pStyle w:val="ListBullet"/>
        <w:spacing w:after="80" w:line="252" w:lineRule="auto"/>
      </w:pPr>
      <w:r>
        <w:t>Las secciones inferiores muestran cumplimiento del prototipo, variables explicativas e historial reciente cuando hay datos disponibles.</w:t>
      </w:r>
    </w:p>
    <w:p>
      <w:pPr>
        <w:pStyle w:val="Heading1"/>
      </w:pPr>
      <w:r>
        <w:t>Flujo funcional de predicción</w:t>
      </w:r>
    </w:p>
    <w:p>
      <w:pPr>
        <w:pStyle w:val="ListNumber"/>
        <w:spacing w:after="80" w:line="252" w:lineRule="auto"/>
      </w:pPr>
      <w:r>
        <w:t>El usuario ingresa el cuerpo de la noticia y, si lo desea, un título.</w:t>
      </w:r>
    </w:p>
    <w:p>
      <w:pPr>
        <w:pStyle w:val="ListNumber"/>
        <w:spacing w:after="80" w:line="252" w:lineRule="auto"/>
      </w:pPr>
      <w:r>
        <w:t>Al seleccionar la acción de predicción, la interfaz envía la solicitud al servicio del backend.</w:t>
      </w:r>
    </w:p>
    <w:p>
      <w:pPr>
        <w:pStyle w:val="ListNumber"/>
        <w:spacing w:after="80" w:line="252" w:lineRule="auto"/>
      </w:pPr>
      <w:r>
        <w:t>Mientras espera la respuesta, el tablero muestra el estado de consulta en curso.</w:t>
      </w:r>
    </w:p>
    <w:p>
      <w:pPr>
        <w:pStyle w:val="ListNumber"/>
        <w:spacing w:after="80" w:line="252" w:lineRule="auto"/>
      </w:pPr>
      <w:r>
        <w:t>Si la respuesta es válida, se muestran la clase dominante, el identificador de predicción, la clase reportada por la API y las probabilidades de LEFT, CENTER y RIGHT.</w:t>
      </w:r>
    </w:p>
    <w:p>
      <w:pPr>
        <w:pStyle w:val="ListNumber"/>
        <w:spacing w:after="80" w:line="252" w:lineRule="auto"/>
      </w:pPr>
      <w:r>
        <w:t>Si la confianza es baja, el tablero muestra una advertencia para que el usuario revise las probabilidades antes de interpretar el resultado como concluyente.</w:t>
      </w:r>
    </w:p>
    <w:p>
      <w:pPr>
        <w:pStyle w:val="Heading1"/>
      </w:pPr>
      <w:r>
        <w:t>Estados manejados por la interfaz</w:t>
      </w:r>
    </w:p>
    <w:tbl>
      <w:tblPr>
        <w:tblStyle w:val="TableGrid"/>
        <w:tblW w:type="auto" w:w="0"/>
        <w:tblLayout w:type="autofit"/>
        <w:tblLook w:firstColumn="1" w:firstRow="1" w:lastColumn="0" w:lastRow="0" w:noHBand="0" w:noVBand="1" w:val="04A0"/>
      </w:tblPr>
      <w:tblGrid>
        <w:gridCol w:w="3293"/>
        <w:gridCol w:w="3293"/>
        <w:gridCol w:w="3293"/>
      </w:tblGrid>
      <w:tr>
        <w:trPr>
          <w:cantSplit/>
        </w:trPr>
        <w:tc>
          <w:tcPr>
            <w:tcW w:type="dxa" w:w="2088"/>
            <w:shd w:fill="0F172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Estado</w:t>
            </w:r>
          </w:p>
        </w:tc>
        <w:tc>
          <w:tcPr>
            <w:tcW w:type="dxa" w:w="3384"/>
            <w:shd w:fill="0F172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Cómo se presenta</w:t>
            </w:r>
          </w:p>
        </w:tc>
        <w:tc>
          <w:tcPr>
            <w:tcW w:type="dxa" w:w="3672"/>
            <w:shd w:fill="0F172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Finalidad</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Carga inicial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Mensaje de carga mientras se obtienen los datos base del tablero.</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Evitar que el usuario vea una pantalla incompleta durante la conexión inicial.</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Error de carga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Mensaje de error con botón Reintentar.</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Permitir recuperar la pantalla si el backend no estaba disponible o falló temporalmente.</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Predicción pendiente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Panel de resultado con etiqueta Pendiente y mensaje Sin predicción ejecutada.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Diferenciar claramente el estado inicial de una predicción real.</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Servicio consultando</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Botones deshabilitados y mensaje Consultando servicio.</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Indicar que la operación está en proceso y evitar envíos duplicados.</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Respuesta inválida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Mensaje de error cuando faltan id, clase o probabilidades válidas.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Impedir que el tablero represente datos incompletos como resultado del modelo.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Baja confianza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Aviso destacado cuando la probabilidad más alta es menor al umbral del tablero.</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Ayudar al usuario a interpretar el resultado con cautela.</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Datos vacíos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Mensajes informativos en historial o variables explicativas cuando no hay registros.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Mantener la interfaz legible aunque algunos conjuntos de datos aún no estén disponibles.</w:t>
            </w:r>
          </w:p>
        </w:tc>
      </w:tr>
    </w:tbl>
    <w:p/>
    <w:p>
      <w:pPr>
        <w:pStyle w:val="Heading1"/>
      </w:pPr>
      <w:r>
        <w:t>Visualización del resultado</w:t>
      </w:r>
    </w:p>
    <w:p>
      <w:pPr>
        <w:spacing w:after="140" w:line="259" w:lineRule="auto"/>
      </w:pPr>
      <w:r>
        <w:t>El resultado se presenta en dos niveles. Primero, el tablero destaca la clase dominante como la predicción principal. Segundo, muestra las probabilidades de las tres orientaciones para que el usuario pueda comparar la distribución de la salida. Esta representación evita depender únicamente de una etiqueta y permite identificar casos cercanos, especialmente cuando ninguna probabilidad domina con claridad.</w:t>
      </w:r>
    </w:p>
    <w:p>
      <w:pPr>
        <w:pStyle w:val="Heading1"/>
      </w:pPr>
      <w:r>
        <w:t>Vistas y elementos complementarios</w:t>
      </w:r>
    </w:p>
    <w:tbl>
      <w:tblPr>
        <w:tblStyle w:val="TableGrid"/>
        <w:tblW w:type="auto" w:w="0"/>
        <w:tblLayout w:type="autofit"/>
        <w:tblLook w:firstColumn="1" w:firstRow="1" w:lastColumn="0" w:lastRow="0" w:noHBand="0" w:noVBand="1" w:val="04A0"/>
      </w:tblPr>
      <w:tblGrid>
        <w:gridCol w:w="4939"/>
        <w:gridCol w:w="4939"/>
      </w:tblGrid>
      <w:tr>
        <w:trPr>
          <w:cantSplit/>
        </w:trPr>
        <w:tc>
          <w:tcPr>
            <w:tcW w:type="dxa" w:w="2664"/>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000000"/>
                <w:sz w:val="19"/>
              </w:rPr>
              <w:t>Elemento</w:t>
            </w:r>
          </w:p>
        </w:tc>
        <w:tc>
          <w:tcPr>
            <w:tcW w:type="dxa" w:w="6552"/>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000000"/>
                <w:sz w:val="19"/>
              </w:rPr>
              <w:t>Función para el usuario</w:t>
            </w:r>
          </w:p>
        </w:tc>
      </w:tr>
      <w:tr>
        <w:trPr>
          <w:cantSplit/>
        </w:trP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Explorar datos</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Permite consultar artículos por tema, fuente, orientación o fecha desde una vista separada.</w:t>
            </w:r>
          </w:p>
        </w:tc>
      </w:tr>
      <w:tr>
        <w:trPr>
          <w:cantSplit/>
        </w:trP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Historial reciente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Muestra análisis anteriores cuando existen registros disponibles.</w:t>
            </w:r>
          </w:p>
        </w:tc>
      </w:tr>
      <w:tr>
        <w:trPr>
          <w:cantSplit/>
        </w:trP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Variables explicativas</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Presenta expresiones o rasgos que ayudan a contextualizar la predicción.</w:t>
            </w:r>
          </w:p>
        </w:tc>
      </w:tr>
      <w:tr>
        <w:trPr>
          <w:cantSplit/>
        </w:trP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Favoritos</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Organiza artículos guardados por el usuario para consulta posterior.</w:t>
            </w:r>
          </w:p>
        </w:tc>
      </w:tr>
      <w:tr>
        <w:trPr>
          <w:cantSplit/>
        </w:trP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Perfil</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Muestra información básica del usuario y estadísticas de uso.</w:t>
            </w:r>
          </w:p>
        </w:tc>
      </w:tr>
      <w:tr>
        <w:trPr>
          <w:cantSplit/>
        </w:trP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Flujo por URL</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Permite probar un flujo alternativo de análisis mediante una dirección de noticia.</w:t>
            </w:r>
          </w:p>
        </w:tc>
      </w:tr>
    </w:tbl>
    <w:p/>
    <w:p>
      <w:pPr>
        <w:pStyle w:val="Heading1"/>
      </w:pPr>
      <w:r>
        <w:t>Relación con los requisitos de la entrega</w:t>
      </w:r>
    </w:p>
    <w:tbl>
      <w:tblPr>
        <w:tblStyle w:val="TableGrid"/>
        <w:tblW w:type="auto" w:w="0"/>
        <w:tblLayout w:type="autofit"/>
        <w:tblLook w:firstColumn="1" w:firstRow="1" w:lastColumn="0" w:lastRow="0" w:noHBand="0" w:noVBand="1" w:val="04A0"/>
      </w:tblPr>
      <w:tblGrid>
        <w:gridCol w:w="3293"/>
        <w:gridCol w:w="3293"/>
        <w:gridCol w:w="3293"/>
      </w:tblGrid>
      <w:tr>
        <w:trPr>
          <w:cantSplit/>
        </w:trPr>
        <w:tc>
          <w:tcPr>
            <w:tcW w:type="dxa" w:w="244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Requisito</w:t>
            </w:r>
          </w:p>
        </w:tc>
        <w:tc>
          <w:tcPr>
            <w:tcW w:type="dxa" w:w="525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Evidencia en el tablero</w:t>
            </w:r>
          </w:p>
        </w:tc>
        <w:tc>
          <w:tcPr>
            <w:tcW w:type="dxa" w:w="151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Estado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Predicciones desde la API</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La pantalla principal ejecuta la acción de predicción contra el servicio de backend.</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Cubierto en interfaz</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Manejo de errores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La interfaz muestra mensajes claros y opciones de reintento para carga y predicción.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Cubierto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Baja confianza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El resultado incluye una advertencia cuando la probabilidad dominante no supera el umbral configurado.</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Cubierto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Respuestas inválidas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El frontend valida que la respuesta contenga identificador, clase y probabilidades numéricas.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Cubierto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Datos relevantes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Se muestran probabilidades, historial, variables explicativas, exploración y perfil.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Cubierto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Documentación para usuarios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Se genera un manual de usuario independiente en la carpeta docs.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Cubierto</w:t>
            </w:r>
          </w:p>
        </w:tc>
      </w:tr>
    </w:tbl>
    <w:p/>
    <w:p>
      <w:pPr>
        <w:pStyle w:val="Heading1"/>
      </w:pPr>
      <w:r>
        <w:t>Conclusión</w:t>
      </w:r>
    </w:p>
    <w:p>
      <w:pPr>
        <w:spacing w:after="140" w:line="259" w:lineRule="auto"/>
      </w:pPr>
      <w:r>
        <w:t>El tablero funcional de MAIA News Analyzer ofrece una experiencia completa para operar el prototipo de análisis de noticias. La interfaz ya no depende de un resultado visual de ejemplo para representar la salida principal: diferencia el estado pendiente, valida la respuesta recibida, advierte sobre baja confianza y ofrece caminos de recuperación ante errores. Con esto, el tablero presenta la predicción del modelo de una forma más confiable y comprensible para el usuario.</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