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rPr>
          <w:b w:val="1"/>
        </w:rPr>
      </w:pPr>
      <w:bookmarkStart w:colFirst="0" w:colLast="0" w:name="_heading=h.hpd9shssxxte" w:id="0"/>
      <w:bookmarkEnd w:id="0"/>
      <w:r w:rsidDel="00000000" w:rsidR="00000000" w:rsidRPr="00000000">
        <w:rPr>
          <w:rtl w:val="0"/>
        </w:rPr>
      </w:r>
    </w:p>
    <w:p w:rsidR="00000000" w:rsidDel="00000000" w:rsidP="00000000" w:rsidRDefault="00000000" w:rsidRPr="00000000" w14:paraId="00000002">
      <w:pPr>
        <w:ind w:left="0" w:hanging="2"/>
        <w:rPr/>
      </w:pPr>
      <w:bookmarkStart w:colFirst="0" w:colLast="0" w:name="_heading=h.gjdgxs" w:id="1"/>
      <w:bookmarkEnd w:id="1"/>
      <w:r w:rsidDel="00000000" w:rsidR="00000000" w:rsidRPr="00000000">
        <w:rPr>
          <w:b w:val="1"/>
          <w:rtl w:val="0"/>
        </w:rPr>
        <w:t xml:space="preserve">TERMS AND CONDITIONS</w:t>
      </w:r>
      <w:r w:rsidDel="00000000" w:rsidR="00000000" w:rsidRPr="00000000">
        <w:rPr>
          <w:rtl w:val="0"/>
        </w:rPr>
      </w:r>
    </w:p>
    <w:p w:rsidR="00000000" w:rsidDel="00000000" w:rsidP="00000000" w:rsidRDefault="00000000" w:rsidRPr="00000000" w14:paraId="00000003">
      <w:pPr>
        <w:ind w:left="0" w:hanging="2"/>
        <w:rPr/>
      </w:pPr>
      <w:r w:rsidDel="00000000" w:rsidR="00000000" w:rsidRPr="00000000">
        <w:rPr>
          <w:rtl w:val="0"/>
        </w:rPr>
      </w:r>
    </w:p>
    <w:p w:rsidR="00000000" w:rsidDel="00000000" w:rsidP="00000000" w:rsidRDefault="00000000" w:rsidRPr="00000000" w14:paraId="00000004">
      <w:pPr>
        <w:ind w:left="0" w:hanging="2"/>
        <w:rPr/>
      </w:pPr>
      <w:r w:rsidDel="00000000" w:rsidR="00000000" w:rsidRPr="00000000">
        <w:rPr>
          <w:b w:val="1"/>
          <w:rtl w:val="0"/>
        </w:rPr>
        <w:t xml:space="preserve">Pay</w:t>
      </w:r>
      <w:r w:rsidDel="00000000" w:rsidR="00000000" w:rsidRPr="00000000">
        <w:rPr>
          <w:rtl w:val="0"/>
        </w:rPr>
      </w:r>
    </w:p>
    <w:p w:rsidR="00000000" w:rsidDel="00000000" w:rsidP="00000000" w:rsidRDefault="00000000" w:rsidRPr="00000000" w14:paraId="00000005">
      <w:pPr>
        <w:ind w:left="0" w:hanging="2"/>
        <w:rPr/>
      </w:pPr>
      <w:r w:rsidDel="00000000" w:rsidR="00000000" w:rsidRPr="00000000">
        <w:rPr>
          <w:rtl w:val="0"/>
        </w:rPr>
        <w:t xml:space="preserve">There is an expectation that successful applicants new to the Civil Service will join on the pay band minimum.</w:t>
      </w:r>
    </w:p>
    <w:p w:rsidR="00000000" w:rsidDel="00000000" w:rsidP="00000000" w:rsidRDefault="00000000" w:rsidRPr="00000000" w14:paraId="00000006">
      <w:pPr>
        <w:ind w:left="0" w:hanging="2"/>
        <w:rPr/>
      </w:pPr>
      <w:r w:rsidDel="00000000" w:rsidR="00000000" w:rsidRPr="00000000">
        <w:rPr>
          <w:rtl w:val="0"/>
        </w:rPr>
      </w:r>
    </w:p>
    <w:p w:rsidR="00000000" w:rsidDel="00000000" w:rsidP="00000000" w:rsidRDefault="00000000" w:rsidRPr="00000000" w14:paraId="00000007">
      <w:pPr>
        <w:ind w:left="0" w:hanging="2"/>
        <w:rPr/>
      </w:pPr>
      <w:r w:rsidDel="00000000" w:rsidR="00000000" w:rsidRPr="00000000">
        <w:rPr>
          <w:rtl w:val="0"/>
        </w:rPr>
        <w:t xml:space="preserve">Existing civil servants may be able to take up the post on loan from their parent department for the duration advertised. If it is known at the point of advertising that the role is not available on loan, this will be stated in the job advert.</w:t>
      </w:r>
    </w:p>
    <w:p w:rsidR="00000000" w:rsidDel="00000000" w:rsidP="00000000" w:rsidRDefault="00000000" w:rsidRPr="00000000" w14:paraId="00000008">
      <w:pPr>
        <w:ind w:left="0" w:hanging="2"/>
        <w:rPr/>
      </w:pPr>
      <w:r w:rsidDel="00000000" w:rsidR="00000000" w:rsidRPr="00000000">
        <w:rPr>
          <w:rtl w:val="0"/>
        </w:rPr>
      </w:r>
    </w:p>
    <w:p w:rsidR="00000000" w:rsidDel="00000000" w:rsidP="00000000" w:rsidRDefault="00000000" w:rsidRPr="00000000" w14:paraId="00000009">
      <w:pPr>
        <w:ind w:left="0" w:hanging="2"/>
        <w:rPr/>
      </w:pPr>
      <w:r w:rsidDel="00000000" w:rsidR="00000000" w:rsidRPr="00000000">
        <w:rPr>
          <w:rtl w:val="0"/>
        </w:rPr>
        <w:t xml:space="preserve">Those joining on level transfer will retain their current salary. </w:t>
      </w:r>
    </w:p>
    <w:p w:rsidR="00000000" w:rsidDel="00000000" w:rsidP="00000000" w:rsidRDefault="00000000" w:rsidRPr="00000000" w14:paraId="0000000A">
      <w:pPr>
        <w:ind w:left="0" w:hanging="2"/>
        <w:rPr/>
      </w:pPr>
      <w:r w:rsidDel="00000000" w:rsidR="00000000" w:rsidRPr="00000000">
        <w:rPr>
          <w:rtl w:val="0"/>
        </w:rPr>
      </w:r>
    </w:p>
    <w:p w:rsidR="00000000" w:rsidDel="00000000" w:rsidP="00000000" w:rsidRDefault="00000000" w:rsidRPr="00000000" w14:paraId="0000000B">
      <w:pPr>
        <w:ind w:left="0" w:hanging="2"/>
        <w:rPr/>
      </w:pPr>
      <w:r w:rsidDel="00000000" w:rsidR="00000000" w:rsidRPr="00000000">
        <w:rPr>
          <w:rtl w:val="0"/>
        </w:rPr>
        <w:t xml:space="preserve">Staff joining on promotion will receive up to a 10% increase of their current basic salary, or the pay band minimum, whichever is the greater. They will adopt the modernised terms and conditions of employment which came into force in 2013. </w:t>
      </w:r>
    </w:p>
    <w:p w:rsidR="00000000" w:rsidDel="00000000" w:rsidP="00000000" w:rsidRDefault="00000000" w:rsidRPr="00000000" w14:paraId="0000000C">
      <w:pPr>
        <w:ind w:left="0" w:hanging="2"/>
        <w:rPr/>
      </w:pPr>
      <w:r w:rsidDel="00000000" w:rsidR="00000000" w:rsidRPr="00000000">
        <w:rPr>
          <w:rtl w:val="0"/>
        </w:rPr>
      </w:r>
    </w:p>
    <w:p w:rsidR="00000000" w:rsidDel="00000000" w:rsidP="00000000" w:rsidRDefault="00000000" w:rsidRPr="00000000" w14:paraId="0000000D">
      <w:pPr>
        <w:ind w:left="0" w:hanging="2"/>
        <w:rPr/>
      </w:pPr>
      <w:r w:rsidDel="00000000" w:rsidR="00000000" w:rsidRPr="00000000">
        <w:rPr>
          <w:rtl w:val="0"/>
        </w:rPr>
        <w:t xml:space="preserve">Salary uplifts will be subject to the central pay remit guidance that is published annually. In addition there may be an opportunity to receive a performance related award. </w:t>
      </w:r>
    </w:p>
    <w:p w:rsidR="00000000" w:rsidDel="00000000" w:rsidP="00000000" w:rsidRDefault="00000000" w:rsidRPr="00000000" w14:paraId="0000000E">
      <w:pPr>
        <w:ind w:left="0" w:hanging="2"/>
        <w:rPr/>
      </w:pPr>
      <w:r w:rsidDel="00000000" w:rsidR="00000000" w:rsidRPr="00000000">
        <w:rPr>
          <w:rtl w:val="0"/>
        </w:rPr>
      </w:r>
    </w:p>
    <w:p w:rsidR="00000000" w:rsidDel="00000000" w:rsidP="00000000" w:rsidRDefault="00000000" w:rsidRPr="00000000" w14:paraId="0000000F">
      <w:pPr>
        <w:ind w:left="0" w:hanging="2"/>
        <w:rPr/>
      </w:pPr>
      <w:r w:rsidDel="00000000" w:rsidR="00000000" w:rsidRPr="00000000">
        <w:rPr>
          <w:b w:val="1"/>
          <w:rtl w:val="0"/>
        </w:rPr>
        <w:t xml:space="preserve">Pension</w:t>
      </w:r>
      <w:r w:rsidDel="00000000" w:rsidR="00000000" w:rsidRPr="00000000">
        <w:rPr>
          <w:rtl w:val="0"/>
        </w:rPr>
      </w:r>
    </w:p>
    <w:p w:rsidR="00000000" w:rsidDel="00000000" w:rsidP="00000000" w:rsidRDefault="00000000" w:rsidRPr="00000000" w14:paraId="00000010">
      <w:pPr>
        <w:ind w:left="0" w:hanging="2"/>
        <w:rPr/>
      </w:pPr>
      <w:r w:rsidDel="00000000" w:rsidR="00000000" w:rsidRPr="00000000">
        <w:rPr>
          <w:rtl w:val="0"/>
        </w:rPr>
        <w:t xml:space="preserve">There is a choice of excellent pension schemes. More information about pension provisions can be found at: </w:t>
      </w:r>
      <w:hyperlink r:id="rId7">
        <w:r w:rsidDel="00000000" w:rsidR="00000000" w:rsidRPr="00000000">
          <w:rPr>
            <w:color w:val="0563c1"/>
            <w:u w:val="single"/>
            <w:rtl w:val="0"/>
          </w:rPr>
          <w:t xml:space="preserve">www.civilservice.gov.uk/pensions</w:t>
        </w:r>
      </w:hyperlink>
      <w:r w:rsidDel="00000000" w:rsidR="00000000" w:rsidRPr="00000000">
        <w:rPr>
          <w:color w:val="0563c1"/>
          <w:u w:val="single"/>
          <w:rtl w:val="0"/>
        </w:rPr>
        <w:t xml:space="preserve">.</w:t>
      </w:r>
      <w:r w:rsidDel="00000000" w:rsidR="00000000" w:rsidRPr="00000000">
        <w:rPr>
          <w:rtl w:val="0"/>
        </w:rPr>
        <w:t xml:space="preserve">   </w:t>
      </w:r>
    </w:p>
    <w:p w:rsidR="00000000" w:rsidDel="00000000" w:rsidP="00000000" w:rsidRDefault="00000000" w:rsidRPr="00000000" w14:paraId="00000011">
      <w:pPr>
        <w:ind w:left="0" w:hanging="2"/>
        <w:rPr/>
      </w:pPr>
      <w:r w:rsidDel="00000000" w:rsidR="00000000" w:rsidRPr="00000000">
        <w:rPr>
          <w:rtl w:val="0"/>
        </w:rPr>
      </w:r>
    </w:p>
    <w:p w:rsidR="00000000" w:rsidDel="00000000" w:rsidP="00000000" w:rsidRDefault="00000000" w:rsidRPr="00000000" w14:paraId="00000012">
      <w:pPr>
        <w:ind w:left="0" w:hanging="2"/>
        <w:rPr/>
      </w:pPr>
      <w:r w:rsidDel="00000000" w:rsidR="00000000" w:rsidRPr="00000000">
        <w:rPr>
          <w:b w:val="1"/>
          <w:rtl w:val="0"/>
        </w:rPr>
        <w:t xml:space="preserve">Leave allowances </w:t>
      </w:r>
      <w:r w:rsidDel="00000000" w:rsidR="00000000" w:rsidRPr="00000000">
        <w:rPr>
          <w:rtl w:val="0"/>
        </w:rPr>
      </w:r>
    </w:p>
    <w:p w:rsidR="00000000" w:rsidDel="00000000" w:rsidP="00000000" w:rsidRDefault="00000000" w:rsidRPr="00000000" w14:paraId="00000013">
      <w:pPr>
        <w:ind w:left="0" w:hanging="2"/>
        <w:rPr/>
      </w:pPr>
      <w:r w:rsidDel="00000000" w:rsidR="00000000" w:rsidRPr="00000000">
        <w:rPr>
          <w:rtl w:val="0"/>
        </w:rPr>
        <w:t xml:space="preserve">25 days paid annual leave per annum, rising by 1 day a year up to 30 days after 5 years’ service. In addition, 8 public holidays and the King’s Birthday privilege day. As well as competitive maternity, paternity, shared parental and adoption leave. </w:t>
      </w:r>
    </w:p>
    <w:p w:rsidR="00000000" w:rsidDel="00000000" w:rsidP="00000000" w:rsidRDefault="00000000" w:rsidRPr="00000000" w14:paraId="00000014">
      <w:pPr>
        <w:spacing w:after="280" w:before="280" w:lineRule="auto"/>
        <w:ind w:left="0" w:hanging="2"/>
        <w:rPr/>
      </w:pPr>
      <w:r w:rsidDel="00000000" w:rsidR="00000000" w:rsidRPr="00000000">
        <w:rPr>
          <w:rtl w:val="0"/>
        </w:rPr>
        <w:t xml:space="preserve">If you work part-time/part-year or for less than the full leave year your annual leave/public and privilege leave entitlements are calculated proportionately.</w:t>
      </w:r>
    </w:p>
    <w:p w:rsidR="00000000" w:rsidDel="00000000" w:rsidP="00000000" w:rsidRDefault="00000000" w:rsidRPr="00000000" w14:paraId="00000015">
      <w:pPr>
        <w:ind w:left="0" w:hanging="2"/>
        <w:rPr/>
      </w:pPr>
      <w:r w:rsidDel="00000000" w:rsidR="00000000" w:rsidRPr="00000000">
        <w:rPr>
          <w:b w:val="1"/>
          <w:rtl w:val="0"/>
        </w:rPr>
        <w:t xml:space="preserve">Probation </w:t>
      </w:r>
      <w:r w:rsidDel="00000000" w:rsidR="00000000" w:rsidRPr="00000000">
        <w:rPr>
          <w:rtl w:val="0"/>
        </w:rPr>
      </w:r>
    </w:p>
    <w:p w:rsidR="00000000" w:rsidDel="00000000" w:rsidP="00000000" w:rsidRDefault="00000000" w:rsidRPr="00000000" w14:paraId="00000016">
      <w:pPr>
        <w:ind w:left="0" w:hanging="2"/>
        <w:rPr/>
      </w:pPr>
      <w:r w:rsidDel="00000000" w:rsidR="00000000" w:rsidRPr="00000000">
        <w:rPr>
          <w:rtl w:val="0"/>
        </w:rPr>
        <w:t xml:space="preserve">Staff new to the Civil Service will be required to serve a 6 month probationary period. </w:t>
      </w:r>
    </w:p>
    <w:p w:rsidR="00000000" w:rsidDel="00000000" w:rsidP="00000000" w:rsidRDefault="00000000" w:rsidRPr="00000000" w14:paraId="00000017">
      <w:pPr>
        <w:ind w:left="0" w:hanging="2"/>
        <w:rPr/>
      </w:pPr>
      <w:r w:rsidDel="00000000" w:rsidR="00000000" w:rsidRPr="00000000">
        <w:rPr>
          <w:rtl w:val="0"/>
        </w:rPr>
      </w:r>
    </w:p>
    <w:p w:rsidR="00000000" w:rsidDel="00000000" w:rsidP="00000000" w:rsidRDefault="00000000" w:rsidRPr="00000000" w14:paraId="00000018">
      <w:pPr>
        <w:ind w:left="0" w:hanging="2"/>
        <w:rPr/>
      </w:pPr>
      <w:r w:rsidDel="00000000" w:rsidR="00000000" w:rsidRPr="00000000">
        <w:rPr>
          <w:b w:val="1"/>
          <w:rtl w:val="0"/>
        </w:rPr>
        <w:t xml:space="preserve">Relocation costs</w:t>
      </w:r>
      <w:r w:rsidDel="00000000" w:rsidR="00000000" w:rsidRPr="00000000">
        <w:rPr>
          <w:rtl w:val="0"/>
        </w:rPr>
        <w:t xml:space="preserve"> </w:t>
      </w:r>
    </w:p>
    <w:p w:rsidR="00000000" w:rsidDel="00000000" w:rsidP="00000000" w:rsidRDefault="00000000" w:rsidRPr="00000000" w14:paraId="00000019">
      <w:pPr>
        <w:ind w:left="0" w:hanging="2"/>
        <w:rPr/>
      </w:pPr>
      <w:r w:rsidDel="00000000" w:rsidR="00000000" w:rsidRPr="00000000">
        <w:rPr>
          <w:rtl w:val="0"/>
        </w:rPr>
        <w:t xml:space="preserve">No relocation costs will be available. </w:t>
      </w:r>
    </w:p>
    <w:p w:rsidR="00000000" w:rsidDel="00000000" w:rsidP="00000000" w:rsidRDefault="00000000" w:rsidRPr="00000000" w14:paraId="0000001A">
      <w:pPr>
        <w:ind w:left="0" w:hanging="2"/>
        <w:rPr/>
      </w:pPr>
      <w:r w:rsidDel="00000000" w:rsidR="00000000" w:rsidRPr="00000000">
        <w:rPr>
          <w:rtl w:val="0"/>
        </w:rPr>
      </w:r>
    </w:p>
    <w:p w:rsidR="00000000" w:rsidDel="00000000" w:rsidP="00000000" w:rsidRDefault="00000000" w:rsidRPr="00000000" w14:paraId="0000001B">
      <w:pPr>
        <w:ind w:left="0" w:hanging="2"/>
        <w:rPr/>
      </w:pPr>
      <w:r w:rsidDel="00000000" w:rsidR="00000000" w:rsidRPr="00000000">
        <w:rPr>
          <w:b w:val="1"/>
          <w:rtl w:val="0"/>
        </w:rPr>
        <w:t xml:space="preserve">Childcare schemes</w:t>
      </w:r>
      <w:r w:rsidDel="00000000" w:rsidR="00000000" w:rsidRPr="00000000">
        <w:rPr>
          <w:rtl w:val="0"/>
        </w:rPr>
      </w:r>
    </w:p>
    <w:p w:rsidR="00000000" w:rsidDel="00000000" w:rsidP="00000000" w:rsidRDefault="00000000" w:rsidRPr="00000000" w14:paraId="0000001C">
      <w:pPr>
        <w:ind w:left="0" w:hanging="2"/>
        <w:rPr/>
      </w:pPr>
      <w:bookmarkStart w:colFirst="0" w:colLast="0" w:name="_heading=h.30j0zll" w:id="2"/>
      <w:bookmarkEnd w:id="2"/>
      <w:r w:rsidDel="00000000" w:rsidR="00000000" w:rsidRPr="00000000">
        <w:rPr>
          <w:color w:val="0b0c0c"/>
          <w:rtl w:val="0"/>
        </w:rPr>
        <w:t xml:space="preserve">Any move to Cabinet Office from another employer will mean you can no longer access childcare vouchers. This includes moves between government departments. You may however be eligible for other government schemes, including Tax Free Childcare. Determine your eligibility at: </w:t>
      </w:r>
      <w:hyperlink r:id="rId8">
        <w:r w:rsidDel="00000000" w:rsidR="00000000" w:rsidRPr="00000000">
          <w:rPr>
            <w:color w:val="0000ff"/>
            <w:u w:val="single"/>
            <w:rtl w:val="0"/>
          </w:rPr>
          <w:t xml:space="preserve">https://www.childcarechoices.gov.uk</w:t>
        </w:r>
      </w:hyperlink>
      <w:r w:rsidDel="00000000" w:rsidR="00000000" w:rsidRPr="00000000">
        <w:rPr>
          <w:color w:val="0b0c0c"/>
          <w:rtl w:val="0"/>
        </w:rPr>
        <w:t xml:space="preserve">.</w:t>
      </w:r>
      <w:r w:rsidDel="00000000" w:rsidR="00000000" w:rsidRPr="00000000">
        <w:rPr>
          <w:rtl w:val="0"/>
        </w:rPr>
      </w:r>
    </w:p>
    <w:p w:rsidR="00000000" w:rsidDel="00000000" w:rsidP="00000000" w:rsidRDefault="00000000" w:rsidRPr="00000000" w14:paraId="0000001D">
      <w:pPr>
        <w:ind w:left="0" w:hanging="2"/>
        <w:rPr/>
      </w:pPr>
      <w:r w:rsidDel="00000000" w:rsidR="00000000" w:rsidRPr="00000000">
        <w:rPr>
          <w:rtl w:val="0"/>
        </w:rPr>
      </w:r>
    </w:p>
    <w:p w:rsidR="00000000" w:rsidDel="00000000" w:rsidP="00000000" w:rsidRDefault="00000000" w:rsidRPr="00000000" w14:paraId="0000001E">
      <w:pPr>
        <w:ind w:left="0" w:hanging="2"/>
        <w:rPr/>
      </w:pPr>
      <w:r w:rsidDel="00000000" w:rsidR="00000000" w:rsidRPr="00000000">
        <w:rPr>
          <w:b w:val="1"/>
          <w:rtl w:val="0"/>
        </w:rPr>
        <w:t xml:space="preserve">Equality, diversity and inclusion </w:t>
      </w:r>
      <w:r w:rsidDel="00000000" w:rsidR="00000000" w:rsidRPr="00000000">
        <w:rPr>
          <w:rtl w:val="0"/>
        </w:rPr>
      </w:r>
    </w:p>
    <w:p w:rsidR="00000000" w:rsidDel="00000000" w:rsidP="00000000" w:rsidRDefault="00000000" w:rsidRPr="00000000" w14:paraId="0000001F">
      <w:pPr>
        <w:ind w:left="0" w:hanging="2"/>
        <w:rPr/>
      </w:pPr>
      <w:r w:rsidDel="00000000" w:rsidR="00000000" w:rsidRPr="00000000">
        <w:rPr>
          <w:rtl w:val="0"/>
        </w:rPr>
        <w:t xml:space="preserve">Cabinet Office is committed to a policy of equal opportunity for all staff. We will not discriminate on grounds of gender, gender identity, race, disability, sexual orientation, religion or belief, age, those with caring responsibilities, part time workers or any other factor irrelevant to a person’s work. </w:t>
      </w:r>
    </w:p>
    <w:p w:rsidR="00000000" w:rsidDel="00000000" w:rsidP="00000000" w:rsidRDefault="00000000" w:rsidRPr="00000000" w14:paraId="00000020">
      <w:pPr>
        <w:ind w:left="0" w:hanging="2"/>
        <w:rPr/>
      </w:pPr>
      <w:r w:rsidDel="00000000" w:rsidR="00000000" w:rsidRPr="00000000">
        <w:rPr>
          <w:rtl w:val="0"/>
        </w:rPr>
      </w:r>
    </w:p>
    <w:p w:rsidR="00000000" w:rsidDel="00000000" w:rsidP="00000000" w:rsidRDefault="00000000" w:rsidRPr="00000000" w14:paraId="00000021">
      <w:pPr>
        <w:ind w:left="0" w:hanging="2"/>
        <w:rPr/>
      </w:pPr>
      <w:r w:rsidDel="00000000" w:rsidR="00000000" w:rsidRPr="00000000">
        <w:rPr>
          <w:rtl w:val="0"/>
        </w:rPr>
        <w:t xml:space="preserve">We encourage a diverse workforce and aim to provide a working environment where all staff at all levels are valued and respected, and where discrimination, bullying, promotion of negative stereotyping and harassment are not tolerated. </w:t>
      </w:r>
    </w:p>
    <w:p w:rsidR="00000000" w:rsidDel="00000000" w:rsidP="00000000" w:rsidRDefault="00000000" w:rsidRPr="00000000" w14:paraId="00000022">
      <w:pPr>
        <w:ind w:left="0" w:hanging="2"/>
        <w:rPr/>
      </w:pPr>
      <w:r w:rsidDel="00000000" w:rsidR="00000000" w:rsidRPr="00000000">
        <w:rPr>
          <w:rtl w:val="0"/>
        </w:rPr>
      </w:r>
    </w:p>
    <w:p w:rsidR="00000000" w:rsidDel="00000000" w:rsidP="00000000" w:rsidRDefault="00000000" w:rsidRPr="00000000" w14:paraId="00000023">
      <w:pPr>
        <w:ind w:left="0" w:hanging="2"/>
        <w:rPr/>
      </w:pPr>
      <w:r w:rsidDel="00000000" w:rsidR="00000000" w:rsidRPr="00000000">
        <w:rPr>
          <w:rtl w:val="0"/>
        </w:rPr>
        <w:t xml:space="preserve">Assessment for recruitment, selection, appraisal, training and career progression purposes is based both on the individual’s ability and suitability for the work. We are committed to providing all staff with opportunities to maximise their skills and achieve their potential, offering flexible working arrangements wherever possible. </w:t>
      </w:r>
    </w:p>
    <w:p w:rsidR="00000000" w:rsidDel="00000000" w:rsidP="00000000" w:rsidRDefault="00000000" w:rsidRPr="00000000" w14:paraId="00000024">
      <w:pPr>
        <w:ind w:left="0" w:hanging="2"/>
        <w:rPr/>
      </w:pPr>
      <w:r w:rsidDel="00000000" w:rsidR="00000000" w:rsidRPr="00000000">
        <w:rPr>
          <w:rtl w:val="0"/>
        </w:rPr>
      </w:r>
    </w:p>
    <w:p w:rsidR="00000000" w:rsidDel="00000000" w:rsidP="00000000" w:rsidRDefault="00000000" w:rsidRPr="00000000" w14:paraId="00000025">
      <w:pPr>
        <w:ind w:left="0" w:hanging="2"/>
        <w:rPr/>
      </w:pPr>
      <w:r w:rsidDel="00000000" w:rsidR="00000000" w:rsidRPr="00000000">
        <w:rPr>
          <w:rtl w:val="0"/>
        </w:rPr>
        <w:t xml:space="preserve">As public authorities, departments have statutory duties placed on them that require them to promote equality of opportunity and eliminate unlawful discrimination. We expect all staff to assist the department in meeting these obligations. All staff should have due regard for the need to promote good relations between individuals from different groups, and work towards achieving equality of opportunity for all.</w:t>
      </w:r>
    </w:p>
    <w:p w:rsidR="00000000" w:rsidDel="00000000" w:rsidP="00000000" w:rsidRDefault="00000000" w:rsidRPr="00000000" w14:paraId="00000026">
      <w:pPr>
        <w:ind w:left="0" w:hanging="2"/>
        <w:rPr/>
      </w:pPr>
      <w:r w:rsidDel="00000000" w:rsidR="00000000" w:rsidRPr="00000000">
        <w:rPr>
          <w:rtl w:val="0"/>
        </w:rPr>
      </w:r>
    </w:p>
    <w:p w:rsidR="00000000" w:rsidDel="00000000" w:rsidP="00000000" w:rsidRDefault="00000000" w:rsidRPr="00000000" w14:paraId="00000027">
      <w:pPr>
        <w:widowControl w:val="0"/>
        <w:ind w:left="0" w:hanging="2"/>
        <w:rPr/>
      </w:pPr>
      <w:r w:rsidDel="00000000" w:rsidR="00000000" w:rsidRPr="00000000">
        <w:rPr>
          <w:rtl w:val="0"/>
        </w:rPr>
      </w:r>
    </w:p>
    <w:sectPr>
      <w:headerReference r:id="rId9" w:type="first"/>
      <w:pgSz w:h="16839" w:w="11907" w:orient="portrait"/>
      <w:pgMar w:bottom="1134" w:top="1559" w:left="1276" w:right="1276" w:header="794" w:footer="9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76" w:lineRule="auto"/>
      <w:ind w:left="0" w:hanging="2"/>
      <w:rPr/>
    </w:pPr>
    <w:r w:rsidDel="00000000" w:rsidR="00000000" w:rsidRPr="00000000">
      <w:rPr>
        <w:rtl w:val="0"/>
      </w:rPr>
    </w:r>
  </w:p>
  <w:tbl>
    <w:tblPr>
      <w:tblStyle w:val="Table1"/>
      <w:tblW w:w="12218.0" w:type="dxa"/>
      <w:jc w:val="left"/>
      <w:tblInd w:w="-170.0" w:type="dxa"/>
      <w:tblLayout w:type="fixed"/>
      <w:tblLook w:val="0000"/>
    </w:tblPr>
    <w:tblGrid>
      <w:gridCol w:w="4564"/>
      <w:gridCol w:w="2693"/>
      <w:gridCol w:w="283"/>
      <w:gridCol w:w="4678"/>
      <w:tblGridChange w:id="0">
        <w:tblGrid>
          <w:gridCol w:w="4564"/>
          <w:gridCol w:w="2693"/>
          <w:gridCol w:w="283"/>
          <w:gridCol w:w="4678"/>
        </w:tblGrid>
      </w:tblGridChange>
    </w:tblGrid>
    <w:tr>
      <w:trPr>
        <w:cantSplit w:val="0"/>
        <w:trHeight w:val="624" w:hRule="atLeast"/>
        <w:tblHeader w:val="0"/>
      </w:trPr>
      <w:tc>
        <w:tcPr>
          <w:vMerge w:val="restart"/>
          <w:tcMar>
            <w:left w:w="0.0" w:type="dxa"/>
            <w:right w:w="0.0" w:type="dxa"/>
          </w:tcMar>
        </w:tcPr>
        <w:p w:rsidR="00000000" w:rsidDel="00000000" w:rsidP="00000000" w:rsidRDefault="00000000" w:rsidRPr="00000000" w14:paraId="00000029">
          <w:pPr>
            <w:ind w:left="0" w:hanging="2"/>
            <w:rPr>
              <w:color w:val="000000"/>
              <w:sz w:val="16"/>
              <w:szCs w:val="16"/>
            </w:rPr>
          </w:pPr>
          <w:r w:rsidDel="00000000" w:rsidR="00000000" w:rsidRPr="00000000">
            <w:rPr/>
            <w:drawing>
              <wp:inline distB="114300" distT="114300" distL="114300" distR="114300">
                <wp:extent cx="2438400" cy="6350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8400" cy="635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ind w:left="0" w:hanging="2"/>
            <w:rPr>
              <w:color w:val="000000"/>
              <w:sz w:val="16"/>
              <w:szCs w:val="16"/>
            </w:rPr>
          </w:pP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ind w:left="0" w:hanging="2"/>
            <w:rPr>
              <w:color w:val="005abb"/>
              <w:sz w:val="16"/>
              <w:szCs w:val="16"/>
            </w:rPr>
          </w:pPr>
          <w:r w:rsidDel="00000000" w:rsidR="00000000" w:rsidRPr="00000000">
            <w:rPr>
              <w:rtl w:val="0"/>
            </w:rPr>
          </w:r>
        </w:p>
      </w:tc>
      <w:tc>
        <w:tcPr>
          <w:tcMar>
            <w:left w:w="0.0" w:type="dxa"/>
            <w:right w:w="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ind w:left="0" w:hanging="2"/>
            <w:rPr>
              <w:color w:val="005abb"/>
              <w:sz w:val="16"/>
              <w:szCs w:val="16"/>
            </w:rPr>
          </w:pPr>
          <w:r w:rsidDel="00000000" w:rsidR="00000000" w:rsidRPr="00000000">
            <w:rPr>
              <w:rtl w:val="0"/>
            </w:rPr>
          </w:r>
        </w:p>
      </w:tc>
    </w:tr>
    <w:tr>
      <w:trPr>
        <w:cantSplit w:val="0"/>
        <w:tblHeader w:val="0"/>
      </w:trPr>
      <w:tc>
        <w:tcPr>
          <w:vMerge w:val="continue"/>
          <w:tcMar>
            <w:left w:w="0.0" w:type="dxa"/>
            <w:right w:w="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5abb"/>
              <w:sz w:val="16"/>
              <w:szCs w:val="16"/>
            </w:rPr>
          </w:pP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ind w:left="0" w:hanging="2"/>
            <w:rPr>
              <w:color w:val="000000"/>
              <w:sz w:val="16"/>
              <w:szCs w:val="1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ind w:left="0" w:hanging="2"/>
            <w:rPr>
              <w:color w:val="000000"/>
              <w:sz w:val="16"/>
              <w:szCs w:val="16"/>
            </w:rPr>
          </w:pP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ind w:left="0" w:hanging="2"/>
            <w:rPr>
              <w:color w:val="000000"/>
              <w:sz w:val="16"/>
              <w:szCs w:val="16"/>
            </w:rPr>
          </w:pPr>
          <w:r w:rsidDel="00000000" w:rsidR="00000000" w:rsidRPr="00000000">
            <w:rPr>
              <w:rtl w:val="0"/>
            </w:rPr>
          </w:r>
        </w:p>
      </w:tc>
      <w:tc>
        <w:tcPr>
          <w:tcMar>
            <w:left w:w="0.0" w:type="dxa"/>
            <w:right w:w="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ind w:left="0" w:hanging="2"/>
            <w:rPr>
              <w:color w:val="005abb"/>
              <w:sz w:val="16"/>
              <w:szCs w:val="16"/>
            </w:rPr>
          </w:pP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ind w:left="0" w:hanging="2"/>
      <w:rPr>
        <w:color w:val="000000"/>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0"/>
      <w:szCs w:val="40"/>
    </w:rPr>
  </w:style>
  <w:style w:type="paragraph" w:styleId="Heading2">
    <w:name w:val="heading 2"/>
    <w:basedOn w:val="Normal"/>
    <w:next w:val="Normal"/>
    <w:pPr>
      <w:keepNext w:val="1"/>
      <w:spacing w:after="60" w:before="240" w:lineRule="auto"/>
    </w:pPr>
    <w:rPr>
      <w:color w:val="00a4e8"/>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uppressAutoHyphens w:val="1"/>
      <w:spacing w:line="240" w:lineRule="atLeast"/>
      <w:ind w:left="-1" w:leftChars="-1" w:hanging="1" w:hangingChars="1"/>
      <w:textDirection w:val="btLr"/>
      <w:textAlignment w:val="top"/>
      <w:outlineLvl w:val="0"/>
    </w:pPr>
    <w:rPr>
      <w:position w:val="-1"/>
      <w:szCs w:val="22"/>
      <w:lang w:eastAsia="en-US"/>
    </w:rPr>
  </w:style>
  <w:style w:type="paragraph" w:styleId="Heading1">
    <w:name w:val="heading 1"/>
    <w:basedOn w:val="Normal"/>
    <w:next w:val="Normal"/>
    <w:uiPriority w:val="9"/>
    <w:qFormat w:val="1"/>
    <w:pPr>
      <w:keepNext w:val="1"/>
      <w:spacing w:after="60" w:before="240"/>
    </w:pPr>
    <w:rPr>
      <w:rFonts w:cs="Times New Roman" w:eastAsia="Times New Roman"/>
      <w:bCs w:val="1"/>
      <w:kern w:val="32"/>
      <w:sz w:val="40"/>
      <w:szCs w:val="32"/>
      <w:lang w:val="en-GB"/>
    </w:rPr>
  </w:style>
  <w:style w:type="paragraph" w:styleId="Heading2">
    <w:name w:val="heading 2"/>
    <w:basedOn w:val="Heading1"/>
    <w:next w:val="Normal"/>
    <w:uiPriority w:val="9"/>
    <w:semiHidden w:val="1"/>
    <w:unhideWhenUsed w:val="1"/>
    <w:qFormat w:val="1"/>
    <w:pPr>
      <w:outlineLvl w:val="1"/>
    </w:pPr>
    <w:rPr>
      <w:bCs w:val="0"/>
      <w:iCs w:val="1"/>
      <w:color w:val="00a4e8"/>
      <w:sz w:val="28"/>
      <w:szCs w:val="28"/>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rPr>
      <w:rFonts w:ascii="Arial" w:cs="Times New Roman" w:eastAsia="Times New Roman" w:hAnsi="Arial"/>
      <w:bCs w:val="1"/>
      <w:w w:val="100"/>
      <w:kern w:val="32"/>
      <w:position w:val="-1"/>
      <w:sz w:val="40"/>
      <w:szCs w:val="32"/>
      <w:effect w:val="none"/>
      <w:vertAlign w:val="baseline"/>
      <w:cs w:val="0"/>
      <w:em w:val="none"/>
      <w:lang w:val="en-GB"/>
    </w:rPr>
  </w:style>
  <w:style w:type="character" w:styleId="Heading2Char" w:customStyle="1">
    <w:name w:val="Heading 2 Char"/>
    <w:rPr>
      <w:rFonts w:ascii="Arial" w:cs="Times New Roman" w:eastAsia="Times New Roman" w:hAnsi="Arial"/>
      <w:iCs w:val="1"/>
      <w:color w:val="00a4e8"/>
      <w:w w:val="100"/>
      <w:kern w:val="32"/>
      <w:position w:val="-1"/>
      <w:sz w:val="28"/>
      <w:szCs w:val="28"/>
      <w:effect w:val="none"/>
      <w:vertAlign w:val="baseline"/>
      <w:cs w:val="0"/>
      <w:em w:val="none"/>
      <w:lang w:val="en-GB"/>
    </w:rPr>
  </w:style>
  <w:style w:type="paragraph" w:styleId="BalloonText">
    <w:name w:val="Balloon Text"/>
    <w:basedOn w:val="Normal"/>
    <w:qFormat w:val="1"/>
    <w:pPr>
      <w:spacing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paragraph" w:styleId="Header">
    <w:name w:val="header"/>
    <w:basedOn w:val="Normal"/>
    <w:qFormat w:val="1"/>
    <w:pPr>
      <w:spacing w:line="200" w:lineRule="atLeast"/>
    </w:pPr>
    <w:rPr>
      <w:sz w:val="16"/>
      <w:szCs w:val="16"/>
    </w:rPr>
  </w:style>
  <w:style w:type="character" w:styleId="HeaderChar" w:customStyle="1">
    <w:name w:val="Header Char"/>
    <w:rPr>
      <w:rFonts w:ascii="Arial" w:cs="Arial" w:hAnsi="Arial"/>
      <w:w w:val="100"/>
      <w:position w:val="-1"/>
      <w:sz w:val="16"/>
      <w:szCs w:val="16"/>
      <w:effect w:val="none"/>
      <w:vertAlign w:val="baseline"/>
      <w:cs w:val="0"/>
      <w:em w:val="none"/>
    </w:rPr>
  </w:style>
  <w:style w:type="paragraph" w:styleId="Footer">
    <w:name w:val="footer"/>
    <w:basedOn w:val="Normal"/>
    <w:qFormat w:val="1"/>
    <w:pPr>
      <w:spacing w:line="200" w:lineRule="atLeast"/>
    </w:pPr>
    <w:rPr>
      <w:sz w:val="16"/>
    </w:rPr>
  </w:style>
  <w:style w:type="character" w:styleId="FooterChar" w:customStyle="1">
    <w:name w:val="Footer Char"/>
    <w:rPr>
      <w:rFonts w:ascii="Arial" w:hAnsi="Arial"/>
      <w:w w:val="100"/>
      <w:position w:val="-1"/>
      <w:sz w:val="16"/>
      <w:effect w:val="none"/>
      <w:vertAlign w:val="baseline"/>
      <w:cs w:val="0"/>
      <w:em w:val="none"/>
    </w:rPr>
  </w:style>
  <w:style w:type="table" w:styleId="TableGrid">
    <w:name w:val="Table Grid"/>
    <w:basedOn w:val="TableNormal"/>
    <w:pPr>
      <w:suppressAutoHyphens w:val="1"/>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image" w:customStyle="1">
    <w:name w:val="Header image"/>
    <w:pPr>
      <w:suppressAutoHyphens w:val="1"/>
      <w:spacing w:after="200" w:line="276" w:lineRule="auto"/>
      <w:ind w:left="-1" w:leftChars="-1" w:hanging="1" w:hangingChars="1"/>
      <w:textDirection w:val="btLr"/>
      <w:textAlignment w:val="top"/>
      <w:outlineLvl w:val="0"/>
    </w:pPr>
    <w:rPr>
      <w:noProof w:val="1"/>
      <w:position w:val="-1"/>
      <w:szCs w:val="22"/>
    </w:rPr>
  </w:style>
  <w:style w:type="character" w:styleId="Hyperlink">
    <w:name w:val="Hyperlink"/>
    <w:qFormat w:val="1"/>
    <w:rPr>
      <w:color w:val="0000ff"/>
      <w:w w:val="100"/>
      <w:position w:val="-1"/>
      <w:u w:val="single"/>
      <w:effect w:val="none"/>
      <w:vertAlign w:val="baseline"/>
      <w:cs w:val="0"/>
      <w:em w:val="none"/>
    </w:rPr>
  </w:style>
  <w:style w:type="character" w:styleId="FollowedHyperlink">
    <w:name w:val="FollowedHyperlink"/>
    <w:qFormat w:val="1"/>
    <w:rPr>
      <w:color w:val="954f72"/>
      <w:w w:val="100"/>
      <w:position w:val="-1"/>
      <w:u w:val="single"/>
      <w:effect w:val="none"/>
      <w:vertAlign w:val="baseline"/>
      <w:cs w:val="0"/>
      <w:em w:val="none"/>
    </w:rPr>
  </w:style>
  <w:style w:type="character" w:styleId="CommentReference">
    <w:name w:val="annotation reference"/>
    <w:qFormat w:val="1"/>
    <w:rPr>
      <w:w w:val="100"/>
      <w:position w:val="-1"/>
      <w:sz w:val="16"/>
      <w:szCs w:val="16"/>
      <w:effect w:val="none"/>
      <w:vertAlign w:val="baseline"/>
      <w:cs w:val="0"/>
      <w:em w:val="none"/>
    </w:rPr>
  </w:style>
  <w:style w:type="paragraph" w:styleId="CommentText">
    <w:name w:val="annotation text"/>
    <w:basedOn w:val="Normal"/>
    <w:qFormat w:val="1"/>
    <w:rPr>
      <w:szCs w:val="20"/>
    </w:rPr>
  </w:style>
  <w:style w:type="character" w:styleId="CommentTextChar" w:customStyle="1">
    <w:name w:val="Comment Text Char"/>
    <w:rPr>
      <w:rFonts w:ascii="Arial" w:hAnsi="Arial"/>
      <w:w w:val="100"/>
      <w:position w:val="-1"/>
      <w:effect w:val="none"/>
      <w:vertAlign w:val="baseline"/>
      <w:cs w:val="0"/>
      <w:em w:val="none"/>
      <w:lang w:eastAsia="en-US" w:val="en-US"/>
    </w:rPr>
  </w:style>
  <w:style w:type="paragraph" w:styleId="CommentSubject">
    <w:name w:val="annotation subject"/>
    <w:basedOn w:val="CommentText"/>
    <w:next w:val="CommentText"/>
    <w:qFormat w:val="1"/>
    <w:rPr>
      <w:b w:val="1"/>
      <w:bCs w:val="1"/>
    </w:rPr>
  </w:style>
  <w:style w:type="character" w:styleId="CommentSubjectChar" w:customStyle="1">
    <w:name w:val="Comment Subject Char"/>
    <w:rPr>
      <w:rFonts w:ascii="Arial" w:hAnsi="Arial"/>
      <w:b w:val="1"/>
      <w:bCs w:val="1"/>
      <w:w w:val="100"/>
      <w:position w:val="-1"/>
      <w:effect w:val="none"/>
      <w:vertAlign w:val="baseline"/>
      <w:cs w:val="0"/>
      <w:em w:val="none"/>
      <w:lang w:eastAsia="en-US" w:val="en-US"/>
    </w:rPr>
  </w:style>
  <w:style w:type="character" w:styleId="UnresolvedMention">
    <w:name w:val="Unresolved Mention"/>
    <w:qFormat w:val="1"/>
    <w:rPr>
      <w:color w:val="605e5c"/>
      <w:w w:val="100"/>
      <w:position w:val="-1"/>
      <w:effect w:val="none"/>
      <w:shd w:color="auto" w:fill="e1dfdd" w:val="clear"/>
      <w:vertAlign w:val="baseline"/>
      <w:cs w:val="0"/>
      <w:em w:val="non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ivilservice.gov.uk/pensions" TargetMode="External"/><Relationship Id="rId8" Type="http://schemas.openxmlformats.org/officeDocument/2006/relationships/hyperlink" Target="https://www.childcarechoices.gov.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0AuVtki+lM9xX/eu0ksQ0urEA==">CgMxLjAyDmguaHBkOXNoc3N4eHRlMghoLmdqZGd4czIJaC4zMGowemxsOAByITFINHkxU19qMUpDR29lRHl2aWxLQ045RUt4VmVBUUdfRA==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2025-02-20T08:40:00Z</dcterms:created>
  <dc:creator>Clarke, Penelope - Cabinet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Service Account</vt:lpwstr>
  </property>
  <property fmtid="{D5CDD505-2E9C-101B-9397-08002B2CF9AE}" pid="3" name="TemplateUrl">
    <vt:lpwstr/>
  </property>
  <property fmtid="{D5CDD505-2E9C-101B-9397-08002B2CF9AE}" pid="4" name="Order">
    <vt:lpwstr>90500.0000000000</vt:lpwstr>
  </property>
  <property fmtid="{D5CDD505-2E9C-101B-9397-08002B2CF9AE}" pid="5" name="xd_ProgID">
    <vt:lpwstr/>
  </property>
  <property fmtid="{D5CDD505-2E9C-101B-9397-08002B2CF9AE}" pid="6" name="display_urn:schemas-microsoft-com:office:office#Author">
    <vt:lpwstr>Service Account</vt:lpwstr>
  </property>
  <property fmtid="{D5CDD505-2E9C-101B-9397-08002B2CF9AE}" pid="7" name="_SourceUrl">
    <vt:lpwstr/>
  </property>
  <property fmtid="{D5CDD505-2E9C-101B-9397-08002B2CF9AE}" pid="8" name="_SharedFileIndex">
    <vt:lpwstr/>
  </property>
  <property fmtid="{D5CDD505-2E9C-101B-9397-08002B2CF9AE}" pid="9" name="PublishingExpirationDate">
    <vt:lpwstr/>
  </property>
  <property fmtid="{D5CDD505-2E9C-101B-9397-08002B2CF9AE}" pid="10" name="PublishingStartDate">
    <vt:lpwstr/>
  </property>
</Properties>
</file>