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0E3A57"/>
          <w:sz w:val="40"/>
        </w:rPr>
        <w:t>三周详细执行计划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C6B7A"/>
          <w:sz w:val="24"/>
        </w:rPr>
        <w:t>W1–W3 ｜ 2026.10.09 – 10.29</w:t>
      </w:r>
    </w:p>
    <w:p>
      <w:pPr>
        <w:spacing w:before="120" w:after="160" w:line="312" w:lineRule="auto"/>
        <w:ind w:left="170" w:right="170"/>
        <w:shd w:val="clear" w:fill="EAF1F7"/>
      </w:pPr>
      <w:r>
        <w:rPr>
          <w:rFonts w:ascii="微软雅黑" w:hAnsi="微软雅黑" w:eastAsia="微软雅黑"/>
          <w:b/>
          <w:color w:val="0E3A57"/>
          <w:sz w:val="21"/>
        </w:rPr>
        <w:t>依据：</w:t>
      </w:r>
      <w:r>
        <w:rPr>
          <w:rFonts w:ascii="微软雅黑" w:hAnsi="微软雅黑" w:eastAsia="微软雅黑"/>
          <w:b w:val="0"/>
          <w:sz w:val="21"/>
        </w:rPr>
        <w:t>两份 Proposal 的六周计划（W1 复现 / W2 自训 / W3 DR+误差），叠加目标——第三周（10/23–29）有实习面试。</w:t>
      </w:r>
      <w:r>
        <w:rPr>
          <w:rFonts w:ascii="微软雅黑" w:hAnsi="微软雅黑" w:eastAsia="微软雅黑"/>
          <w:b/>
          <w:color w:val="0E3A57"/>
          <w:sz w:val="21"/>
        </w:rPr>
        <w:t>时间预算：</w:t>
      </w:r>
      <w:r>
        <w:rPr>
          <w:rFonts w:ascii="微软雅黑" w:hAnsi="微软雅黑" w:eastAsia="微软雅黑"/>
          <w:b w:val="0"/>
          <w:sz w:val="21"/>
        </w:rPr>
        <w:t>Proposal A1 约定每人每周 ≥20h，按理论 7h + 工程 13h 分配（工程为主线，理论服务工程与面试）。</w:t>
      </w:r>
      <w:r>
        <w:rPr>
          <w:rFonts w:ascii="微软雅黑" w:hAnsi="微软雅黑" w:eastAsia="微软雅黑"/>
          <w:b/>
          <w:color w:val="0E3A57"/>
          <w:sz w:val="21"/>
        </w:rPr>
        <w:t>双线并行：</w:t>
      </w:r>
      <w:r>
        <w:rPr>
          <w:rFonts w:ascii="微软雅黑" w:hAnsi="微软雅黑" w:eastAsia="微软雅黑"/>
          <w:b w:val="0"/>
          <w:sz w:val="21"/>
        </w:rPr>
        <w:t>工程线产出简历/面试的“一手数据”；理论线保证面试深挖答得上来。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E3A57"/>
          <w:sz w:val="26"/>
        </w:rPr>
        <w:t>W1（10/09–10/15）：Isaac Lab 环境与官方训练跑通</w:t>
      </w:r>
    </w:p>
    <w:p>
      <w:pPr>
        <w:spacing w:after="80" w:line="312" w:lineRule="auto"/>
        <w:jc w:val="both"/>
      </w:pPr>
      <w:r>
        <w:rPr>
          <w:rFonts w:ascii="微软雅黑" w:hAnsi="微软雅黑" w:eastAsia="微软雅黑"/>
          <w:b/>
          <w:color w:val="0E3A57"/>
          <w:sz w:val="21"/>
        </w:rPr>
        <w:t>工程目标（Proposal 判定标准：仿真中连续行走 ≥5 分钟不跌倒）</w:t>
      </w:r>
    </w:p>
    <w:tbl>
      <w:tblPr>
        <w:tblW w:type="auto" w:w="0"/>
        <w:jc w:val="center"/>
        <w:tblLayout w:type="fixed"/>
        <w:tblCellMar>
          <w:top w:w="60" w:type="dxa"/>
          <w:bottom w:w="60" w:type="dxa"/>
          <w:left w:w="100" w:type="dxa"/>
          <w:right w:w="100" w:type="dxa"/>
        </w:tblCellMar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247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</w:t>
            </w:r>
          </w:p>
        </w:tc>
        <w:tc>
          <w:tcPr>
            <w:tcW w:type="dxa" w:w="5216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608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 / 判定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周四 10/09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训练机安装 Ubuntu 22.04（双系统或 WSL2，优先双系统）；装 RTX 驱动 + CUDA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nvidia-smi 正常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周五 10/10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安装 Isaac Sim 4.5 + Isaac Lab 2.1（官方 pip 方式）；克隆 Mini-Pi-Plus_AMP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isaaclab.sh 示例跑通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周六 10/11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加载 Mini Pi+ URDF 与官方任务 pi_plus_amp_sym_flat；阅读仓库 README/环境配置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官方示例策略在 Isaac 中行走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周日 10/12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用官方 checkpoint 跑 play.py（--num_envs=1），正式记录“连续行走 ≥5 分钟”（W1 判定项，录屏+日志存档）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W1 判定通过证据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周一 10/13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小规模训练试运行：train.py --num_envs=1024，跑通 200 iter 观察损失/reward 曲线正常下降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训练日志与曲线截图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周二 10/14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训练脚本 Docker 化（Proposal 交付物：Dockerfile 可复现）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Dockerfile v1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周三 10/15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缓冲/补漏；整理 W1 实验记录入误差追踪表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W1 周报</w:t>
            </w:r>
          </w:p>
        </w:tc>
      </w:tr>
    </w:tbl>
    <w:p>
      <w:pPr>
        <w:spacing w:after="60" w:line="312" w:lineRule="auto"/>
        <w:jc w:val="both"/>
      </w:pPr>
      <w:r>
        <w:rPr>
          <w:rFonts w:ascii="微软雅黑" w:hAnsi="微软雅黑" w:eastAsia="微软雅黑"/>
          <w:b/>
          <w:color w:val="0E3A57"/>
          <w:sz w:val="21"/>
        </w:rPr>
        <w:t>理论学习（7h，本周主题：RL 基础与训练框架）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3h｜</w:t>
      </w:r>
      <w:r>
        <w:rPr>
          <w:rFonts w:ascii="微软雅黑" w:hAnsi="微软雅黑" w:eastAsia="微软雅黑"/>
          <w:b w:val="0"/>
          <w:sz w:val="21"/>
        </w:rPr>
        <w:t>MDP、策略梯度、PPO 核心机制——资源：OpenAI Spinning Up 的 VPG→PPO 章节 + Schulman PPO 论文精读（重点 clip 目标函数）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2h｜</w:t>
      </w:r>
      <w:r>
        <w:rPr>
          <w:rFonts w:ascii="微软雅黑" w:hAnsi="微软雅黑" w:eastAsia="微软雅黑"/>
          <w:b w:val="0"/>
          <w:sz w:val="21"/>
        </w:rPr>
        <w:t>AMP（Adversarial Motion Priors）原理——本框架的奖励来自判别器而非手工 reward：读 Escontrela et al. 2021（重点：判别器输入输出、与 GAN 的关系、retarget 参考动作）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2h｜</w:t>
      </w:r>
      <w:r>
        <w:rPr>
          <w:rFonts w:ascii="微软雅黑" w:hAnsi="微软雅黑" w:eastAsia="微软雅黑"/>
          <w:b w:val="0"/>
          <w:sz w:val="21"/>
        </w:rPr>
        <w:t>Isaac Lab 架构——官方文档 RL 章节：env / task / runner 三层结构，对照 Mini-Pi-Plus_AMP 仓库目录理解</w:t>
      </w:r>
    </w:p>
    <w:p>
      <w:pPr>
        <w:spacing w:before="120" w:after="160" w:line="312" w:lineRule="auto"/>
        <w:ind w:left="170" w:right="170"/>
        <w:shd w:val="clear" w:fill="F0E9E2"/>
      </w:pPr>
      <w:r>
        <w:rPr>
          <w:rFonts w:ascii="微软雅黑" w:hAnsi="微软雅黑" w:eastAsia="微软雅黑"/>
          <w:b/>
          <w:color w:val="B05A1E"/>
          <w:sz w:val="21"/>
        </w:rPr>
        <w:t>验收：</w:t>
      </w:r>
      <w:r>
        <w:rPr>
          <w:rFonts w:ascii="微软雅黑" w:hAnsi="微软雅黑" w:eastAsia="微软雅黑"/>
          <w:b w:val="0"/>
          <w:sz w:val="21"/>
        </w:rPr>
        <w:t>官方策略 Isaac 中 5 分钟行走 + 训练已能启动。面试可讲：“我复现了官方策略并在两个引擎里验证一致（0.51 m/s）”。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E3A57"/>
          <w:sz w:val="26"/>
        </w:rPr>
        <w:t>W2（10/16–10/22）：平地自训基线 + 双引擎对照</w:t>
      </w:r>
    </w:p>
    <w:p>
      <w:pPr>
        <w:spacing w:after="80" w:line="312" w:lineRule="auto"/>
        <w:jc w:val="both"/>
      </w:pPr>
      <w:r>
        <w:rPr>
          <w:rFonts w:ascii="微软雅黑" w:hAnsi="微软雅黑" w:eastAsia="微软雅黑"/>
          <w:b/>
          <w:color w:val="0E3A57"/>
          <w:sz w:val="21"/>
        </w:rPr>
        <w:t>工程目标（判定：自训策略 MuJoCo 回放 ≥60 s、≥0.3 m/s；对照官方口径）</w:t>
      </w:r>
    </w:p>
    <w:tbl>
      <w:tblPr>
        <w:tblW w:type="auto" w:w="0"/>
        <w:jc w:val="center"/>
        <w:tblLayout w:type="fixed"/>
        <w:tblCellMar>
          <w:top w:w="60" w:type="dxa"/>
          <w:bottom w:w="60" w:type="dxa"/>
          <w:left w:w="100" w:type="dxa"/>
          <w:right w:w="100" w:type="dxa"/>
        </w:tblCellMar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247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</w:t>
            </w:r>
          </w:p>
        </w:tc>
        <w:tc>
          <w:tcPr>
            <w:tcW w:type="dxa" w:w="5216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608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 / 判定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周四 10/16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正式训练启动：官方 reward/超参原样，num_envs=1024（显存允许则 2048），后台挂跑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训练任务开始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周五 10/17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训练监控日：每 2h 看一次 reward 曲线/命令跟踪误差；同时把 torch 训练日志脚本化（自动从 logs 提取指标画图）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监控脚本 + 曲线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周六 10/18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训练中段检查：用中间 checkpoint 在 MuJoCo 无头环境回放（mujoco_pi_plus_walk.py），确认策略可用性随训练提升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中段回放记录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周日 10/19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训练收敛判断（reward 平台期 + 命令跟踪误差稳定）；选最佳 checkpoint，play.py 导出 TorchScript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自训 policy.pt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周一 10/20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双引擎对照实验：自训策略 vs 官方策略，各在 Isaac/MuJoCo 跑同一测试（速度跟踪、5 分钟不倒），记录差异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双引擎对照表（Q1/Q2 的第一份答案）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周二 10/21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补测/复跑（若 W2 达标线未过：调 num_envs/iter 重训一次，这是唯一的重试窗口）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达标确认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周三 10/22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W2 收尾：训练曲线、对比表、结论写入实验记录；简历第一条 bullet 填入实测值（替换【实测】占位）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简历 v5</w:t>
            </w:r>
          </w:p>
        </w:tc>
      </w:tr>
    </w:tbl>
    <w:p>
      <w:pPr>
        <w:spacing w:after="60" w:line="312" w:lineRule="auto"/>
        <w:jc w:val="both"/>
      </w:pPr>
      <w:r>
        <w:rPr>
          <w:rFonts w:ascii="微软雅黑" w:hAnsi="微软雅黑" w:eastAsia="微软雅黑"/>
          <w:b/>
          <w:color w:val="0E3A57"/>
          <w:sz w:val="21"/>
        </w:rPr>
        <w:t>理论学习（7h，本周主题：PPO 深入与训练诊断——面试高频区）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3h｜</w:t>
      </w:r>
      <w:r>
        <w:rPr>
          <w:rFonts w:ascii="微软雅黑" w:hAnsi="微软雅黑" w:eastAsia="微软雅黑"/>
          <w:b w:val="0"/>
          <w:sz w:val="21"/>
        </w:rPr>
        <w:t>PPO 细节三件套：GAE（λ 的作用）、clip 范数、熵正则；资源：PPO 论文附录 + Spinning Up 的 PPO 页 + 任何一篇 PPO 调参指南博客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2h｜</w:t>
      </w:r>
      <w:r>
        <w:rPr>
          <w:rFonts w:ascii="微软雅黑" w:hAnsi="微软雅黑" w:eastAsia="微软雅黑"/>
          <w:b w:val="0"/>
          <w:sz w:val="21"/>
        </w:rPr>
        <w:t>训练诊断方法：reward 曲线看什么、常见失败模式（不收敛/震荡/策略保守）、超参敏感性（lr/clip/ent_coef）——结合自己 W1-W2 的训练日志对照学习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2h｜</w:t>
      </w:r>
      <w:r>
        <w:rPr>
          <w:rFonts w:ascii="微软雅黑" w:hAnsi="微软雅黑" w:eastAsia="微软雅黑"/>
          <w:b w:val="0"/>
          <w:sz w:val="21"/>
        </w:rPr>
        <w:t>Rudin et al. CoRL 2021（Learning to Walk in Minutes）：大规模并行训练的要点，解释为什么 1024 envs、为什么几分钟收敛</w:t>
      </w:r>
    </w:p>
    <w:p>
      <w:pPr>
        <w:spacing w:before="120" w:after="160" w:line="312" w:lineRule="auto"/>
        <w:ind w:left="170" w:right="170"/>
        <w:shd w:val="clear" w:fill="F0E9E2"/>
      </w:pPr>
      <w:r>
        <w:rPr>
          <w:rFonts w:ascii="微软雅黑" w:hAnsi="微软雅黑" w:eastAsia="微软雅黑"/>
          <w:b/>
          <w:color w:val="B05A1E"/>
          <w:sz w:val="21"/>
        </w:rPr>
        <w:t>验收：</w:t>
      </w:r>
      <w:r>
        <w:rPr>
          <w:rFonts w:ascii="微软雅黑" w:hAnsi="微软雅黑" w:eastAsia="微软雅黑"/>
          <w:b w:val="0"/>
          <w:sz w:val="21"/>
        </w:rPr>
        <w:t>自训策略回放达标 + 双引擎对照表。面试可讲：“我训的策略在两个物理引擎里表现差 X%，主要差距来自接触模型”。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E3A57"/>
          <w:sz w:val="26"/>
        </w:rPr>
        <w:t>W3（10/23–10/29）：DR 实验 + 误差量化 + 中期检查 + 面试</w:t>
      </w:r>
    </w:p>
    <w:p>
      <w:pPr>
        <w:spacing w:after="80" w:line="312" w:lineRule="auto"/>
        <w:jc w:val="both"/>
      </w:pPr>
      <w:r>
        <w:rPr>
          <w:rFonts w:ascii="微软雅黑" w:hAnsi="微软雅黑" w:eastAsia="微软雅黑"/>
          <w:b/>
          <w:color w:val="0E3A57"/>
          <w:sz w:val="21"/>
        </w:rPr>
        <w:t>工程目标（判定：DR 区间曲线 + 三组误差退化曲线 + 误差对照表 v1；周三中期检查）</w:t>
      </w:r>
    </w:p>
    <w:tbl>
      <w:tblPr>
        <w:tblW w:type="auto" w:w="0"/>
        <w:jc w:val="center"/>
        <w:tblLayout w:type="fixed"/>
        <w:tblCellMar>
          <w:top w:w="60" w:type="dxa"/>
          <w:bottom w:w="60" w:type="dxa"/>
          <w:left w:w="100" w:type="dxa"/>
          <w:right w:w="100" w:type="dxa"/>
        </w:tblCellMar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247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</w:t>
            </w:r>
          </w:p>
        </w:tc>
        <w:tc>
          <w:tcPr>
            <w:tcW w:type="dxa" w:w="5216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608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 / 判定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周四 10/23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摩擦 DR 实验：Isaac 中 3 档摩擦区间（窄/中/宽）各训一轮（可减小规模），导出后在 MuJoCo 测存活率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摩擦维度“区间→存活率”曲线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周五 10/24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外力 DR 实验：同法 3 档外力随机化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外力维度曲线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周六 10/25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PD 敏感性实验（仿真内，无需训练）：用无头环境对 kp/kd 做 ±20%/±50% 缩放，跑行走统计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PD 退化曲线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周日 10/26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IMU 噪声注入 + 延迟注入实验（同法，改观测/控制循环）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IMU/延迟退化曲线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周一 10/27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汇总误差对照表 v1；整理中期检查材料（进度 vs 六周计划、误差追踪表初版——Proposal Next Actions 第 7 条）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中期汇报材料</w:t>
            </w:r>
          </w:p>
        </w:tc>
      </w:tr>
      <w:tr>
        <w:trPr>
          <w:cantSplit/>
        </w:trPr>
        <w:tc>
          <w:tcPr>
            <w:tcW w:type="dxa" w:w="1247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周二 10/28</w:t>
            </w:r>
          </w:p>
        </w:tc>
        <w:tc>
          <w:tcPr>
            <w:tcW w:type="dxa" w:w="5216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中期检查；下午开始面试冲刺复习（见下）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周三 10/29</w:t>
            </w:r>
          </w:p>
        </w:tc>
        <w:tc>
          <w:tcPr>
            <w:tcW w:type="dxa" w:w="5216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面试日（预计）：证据包最终检查——自训曲线、双引擎表、DR 曲线、误差表、抗扰图、disturbance_test.py 可现场跑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面试证据包</w:t>
            </w:r>
          </w:p>
        </w:tc>
      </w:tr>
    </w:tbl>
    <w:p>
      <w:pPr>
        <w:spacing w:after="60" w:line="312" w:lineRule="auto"/>
        <w:jc w:val="both"/>
      </w:pPr>
      <w:r>
        <w:rPr>
          <w:rFonts w:ascii="微软雅黑" w:hAnsi="微软雅黑" w:eastAsia="微软雅黑"/>
          <w:b/>
          <w:color w:val="0E3A57"/>
          <w:sz w:val="21"/>
        </w:rPr>
        <w:t>理论学习（7h，本周主题：Sim2Real 方法论 + 面试冲刺）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2h｜</w:t>
      </w:r>
      <w:r>
        <w:rPr>
          <w:rFonts w:ascii="微软雅黑" w:hAnsi="微软雅黑" w:eastAsia="微软雅黑"/>
          <w:b w:val="0"/>
          <w:sz w:val="21"/>
        </w:rPr>
        <w:t>Tobin et al. IROS 2017（Domain Randomization 开山）：DR 的假设、为什么有效、随机化维度选择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2h｜</w:t>
      </w:r>
      <w:r>
        <w:rPr>
          <w:rFonts w:ascii="微软雅黑" w:hAnsi="微软雅黑" w:eastAsia="微软雅黑"/>
          <w:b w:val="0"/>
          <w:sz w:val="21"/>
        </w:rPr>
        <w:t>RMA（Kumar et al. RSS 2021）+ sim2real gap 综述性理解：三类 gap（物理参数/观测/延迟），各自对策（DR/adaptation/系统辨识）</w:t>
      </w:r>
    </w:p>
    <w:p>
      <w:pPr>
        <w:spacing w:after="8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/>
          <w:color w:val="0E3A57"/>
          <w:sz w:val="21"/>
        </w:rPr>
        <w:t>3h｜</w:t>
      </w:r>
      <w:r>
        <w:rPr>
          <w:rFonts w:ascii="微软雅黑" w:hAnsi="微软雅黑" w:eastAsia="微软雅黑"/>
          <w:b w:val="0"/>
          <w:sz w:val="21"/>
        </w:rPr>
        <w:t>面试冲刺（对照自己实验复盘）：</w:t>
      </w:r>
    </w:p>
    <w:p>
      <w:pPr>
        <w:spacing w:after="80" w:line="312" w:lineRule="auto"/>
        <w:ind w:left="567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– </w:t>
      </w:r>
      <w:r>
        <w:rPr>
          <w:rFonts w:ascii="微软雅黑" w:hAnsi="微软雅黑" w:eastAsia="微软雅黑"/>
          <w:b w:val="0"/>
          <w:sz w:val="21"/>
        </w:rPr>
        <w:t>PPO：clip 目标函数手推、GAE 为什么降低方差、on-policy 的代价</w:t>
      </w:r>
    </w:p>
    <w:p>
      <w:pPr>
        <w:spacing w:after="80" w:line="312" w:lineRule="auto"/>
        <w:ind w:left="567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– </w:t>
      </w:r>
      <w:r>
        <w:rPr>
          <w:rFonts w:ascii="微软雅黑" w:hAnsi="微软雅黑" w:eastAsia="微软雅黑"/>
          <w:b w:val="0"/>
          <w:sz w:val="21"/>
        </w:rPr>
        <w:t>AMP：判别器怎么替代手工 reward、参考动作从哪来</w:t>
      </w:r>
    </w:p>
    <w:p>
      <w:pPr>
        <w:spacing w:after="80" w:line="312" w:lineRule="auto"/>
        <w:ind w:left="567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– </w:t>
      </w:r>
      <w:r>
        <w:rPr>
          <w:rFonts w:ascii="微软雅黑" w:hAnsi="微软雅黑" w:eastAsia="微软雅黑"/>
          <w:b w:val="0"/>
          <w:sz w:val="21"/>
        </w:rPr>
        <w:t>DR：区间怎么定（用你自己的曲线答）、过宽过窄各什么症状（你有实验证据）</w:t>
      </w:r>
    </w:p>
    <w:p>
      <w:pPr>
        <w:spacing w:after="80" w:line="312" w:lineRule="auto"/>
        <w:ind w:left="567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– </w:t>
      </w:r>
      <w:r>
        <w:rPr>
          <w:rFonts w:ascii="微软雅黑" w:hAnsi="微软雅黑" w:eastAsia="微软雅黑"/>
          <w:b w:val="0"/>
          <w:sz w:val="21"/>
        </w:rPr>
        <w:t>sim2sim 的意义与局限：能预测什么（策略鲁棒性）、不能预测什么（真机执行器/IMU 特性）</w:t>
      </w:r>
    </w:p>
    <w:p>
      <w:pPr>
        <w:spacing w:after="80" w:line="312" w:lineRule="auto"/>
        <w:ind w:left="567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– </w:t>
      </w:r>
      <w:r>
        <w:rPr>
          <w:rFonts w:ascii="微软雅黑" w:hAnsi="微软雅黑" w:eastAsia="微软雅黑"/>
          <w:b w:val="0"/>
          <w:sz w:val="21"/>
        </w:rPr>
        <w:t>每题准备 30 秒版 + 2 分钟版答案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E3A57"/>
          <w:sz w:val="26"/>
        </w:rPr>
        <w:t>理论学习资源清单（按优先级）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1. </w:t>
      </w:r>
      <w:r>
        <w:rPr>
          <w:rFonts w:ascii="微软雅黑" w:hAnsi="微软雅黑" w:eastAsia="微软雅黑"/>
          <w:b/>
          <w:color w:val="0E3A57"/>
          <w:sz w:val="21"/>
        </w:rPr>
        <w:t>OpenAI Spinning Up（VPG→PPO 路径）</w:t>
      </w:r>
      <w:r>
        <w:rPr>
          <w:rFonts w:ascii="微软雅黑" w:hAnsi="微软雅黑" w:eastAsia="微软雅黑"/>
          <w:b w:val="0"/>
          <w:sz w:val="21"/>
        </w:rPr>
        <w:t>——RL 基础主线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2. </w:t>
      </w:r>
      <w:r>
        <w:rPr>
          <w:rFonts w:ascii="微软雅黑" w:hAnsi="微软雅黑" w:eastAsia="微软雅黑"/>
          <w:b/>
          <w:color w:val="0E3A57"/>
          <w:sz w:val="21"/>
        </w:rPr>
        <w:t>Schulman et al. 2017, Proximal Policy Optimization</w:t>
      </w:r>
      <w:r>
        <w:rPr>
          <w:rFonts w:ascii="微软雅黑" w:hAnsi="微软雅黑" w:eastAsia="微软雅黑"/>
          <w:b w:val="0"/>
          <w:sz w:val="21"/>
        </w:rPr>
        <w:t>——必精读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3. </w:t>
      </w:r>
      <w:r>
        <w:rPr>
          <w:rFonts w:ascii="微软雅黑" w:hAnsi="微软雅黑" w:eastAsia="微软雅黑"/>
          <w:b/>
          <w:color w:val="0E3A57"/>
          <w:sz w:val="21"/>
        </w:rPr>
        <w:t>Escontrela et al. 2021, Adversarial Motion Priors</w:t>
      </w:r>
      <w:r>
        <w:rPr>
          <w:rFonts w:ascii="微软雅黑" w:hAnsi="微软雅黑" w:eastAsia="微软雅黑"/>
          <w:b w:val="0"/>
          <w:sz w:val="21"/>
        </w:rPr>
        <w:t>——本框架奖励来源，面试必被问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4. </w:t>
      </w:r>
      <w:r>
        <w:rPr>
          <w:rFonts w:ascii="微软雅黑" w:hAnsi="微软雅黑" w:eastAsia="微软雅黑"/>
          <w:b/>
          <w:color w:val="0E3A57"/>
          <w:sz w:val="21"/>
        </w:rPr>
        <w:t>Rudin et al. CoRL 2021</w:t>
      </w:r>
      <w:r>
        <w:rPr>
          <w:rFonts w:ascii="微软雅黑" w:hAnsi="微软雅黑" w:eastAsia="微软雅黑"/>
          <w:b w:val="0"/>
          <w:sz w:val="21"/>
        </w:rPr>
        <w:t>——并行训练范式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5. </w:t>
      </w:r>
      <w:r>
        <w:rPr>
          <w:rFonts w:ascii="微软雅黑" w:hAnsi="微软雅黑" w:eastAsia="微软雅黑"/>
          <w:b/>
          <w:color w:val="0E3A57"/>
          <w:sz w:val="21"/>
        </w:rPr>
        <w:t>Tobin et al. IROS 2017</w:t>
      </w:r>
      <w:r>
        <w:rPr>
          <w:rFonts w:ascii="微软雅黑" w:hAnsi="微软雅黑" w:eastAsia="微软雅黑"/>
          <w:b w:val="0"/>
          <w:sz w:val="21"/>
        </w:rPr>
        <w:t>——DR 原文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6. </w:t>
      </w:r>
      <w:r>
        <w:rPr>
          <w:rFonts w:ascii="微软雅黑" w:hAnsi="微软雅黑" w:eastAsia="微软雅黑"/>
          <w:b/>
          <w:color w:val="0E3A57"/>
          <w:sz w:val="21"/>
        </w:rPr>
        <w:t>Kumar et al. RSS 2021, RMA</w:t>
      </w:r>
      <w:r>
        <w:rPr>
          <w:rFonts w:ascii="微软雅黑" w:hAnsi="微软雅黑" w:eastAsia="微软雅黑"/>
          <w:b w:val="0"/>
          <w:sz w:val="21"/>
        </w:rPr>
        <w:t>——自适应方向（加分项，读 intro 即可）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7. </w:t>
      </w:r>
      <w:r>
        <w:rPr>
          <w:rFonts w:ascii="微软雅黑" w:hAnsi="微软雅黑" w:eastAsia="微软雅黑"/>
          <w:b/>
          <w:color w:val="0E3A57"/>
          <w:sz w:val="21"/>
        </w:rPr>
        <w:t>Isaac Lab 官方文档 RL 章节 + 高擎从零搭建 Pi+ 教程</w:t>
      </w:r>
      <w:r>
        <w:rPr>
          <w:rFonts w:ascii="微软雅黑" w:hAnsi="微软雅黑" w:eastAsia="微软雅黑"/>
          <w:b w:val="0"/>
          <w:sz w:val="21"/>
        </w:rPr>
        <w:t>（工具性查阅）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E3A57"/>
          <w:sz w:val="26"/>
        </w:rPr>
        <w:t>三条纪律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1. </w:t>
      </w:r>
      <w:r>
        <w:rPr>
          <w:rFonts w:ascii="微软雅黑" w:hAnsi="微软雅黑" w:eastAsia="微软雅黑"/>
          <w:b/>
          <w:color w:val="0E3A57"/>
          <w:sz w:val="21"/>
        </w:rPr>
        <w:t>训练不等理论：</w:t>
      </w:r>
      <w:r>
        <w:rPr>
          <w:rFonts w:ascii="微软雅黑" w:hAnsi="微软雅黑" w:eastAsia="微软雅黑"/>
          <w:b w:val="0"/>
          <w:sz w:val="21"/>
        </w:rPr>
        <w:t>W1 周一训练试运行必须在理论学完前启动，理论用训练等待的碎片时间学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2. </w:t>
      </w:r>
      <w:r>
        <w:rPr>
          <w:rFonts w:ascii="微软雅黑" w:hAnsi="微软雅黑" w:eastAsia="微软雅黑"/>
          <w:b/>
          <w:color w:val="0E3A57"/>
          <w:sz w:val="21"/>
        </w:rPr>
        <w:t>每个实验先写判定标准再跑</w:t>
      </w:r>
      <w:r>
        <w:rPr>
          <w:rFonts w:ascii="微软雅黑" w:hAnsi="微软雅黑" w:eastAsia="微软雅黑"/>
          <w:b w:val="0"/>
          <w:sz w:val="21"/>
        </w:rPr>
        <w:t>（指标先行），跑完立即存图存表，不留“回头补”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3. </w:t>
      </w:r>
      <w:r>
        <w:rPr>
          <w:rFonts w:ascii="微软雅黑" w:hAnsi="微软雅黑" w:eastAsia="微软雅黑"/>
          <w:b/>
          <w:color w:val="0E3A57"/>
          <w:sz w:val="21"/>
        </w:rPr>
        <w:t>每天结束 5 分钟：</w:t>
      </w:r>
      <w:r>
        <w:rPr>
          <w:rFonts w:ascii="微软雅黑" w:hAnsi="微软雅黑" w:eastAsia="微软雅黑"/>
          <w:b w:val="0"/>
          <w:sz w:val="21"/>
        </w:rPr>
        <w:t>往误差追踪表里加一行当日数据——这是期末交付物“训练—验证—部署记录”的原材料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E3A57"/>
          <w:sz w:val="26"/>
        </w:rPr>
        <w:t>风险与对策</w:t>
      </w:r>
    </w:p>
    <w:tbl>
      <w:tblPr>
        <w:tblW w:type="auto" w:w="0"/>
        <w:jc w:val="center"/>
        <w:tblLayout w:type="fixed"/>
        <w:tblCellMar>
          <w:top w:w="60" w:type="dxa"/>
          <w:bottom w:w="60" w:type="dxa"/>
          <w:left w:w="100" w:type="dxa"/>
          <w:right w:w="100" w:type="dxa"/>
        </w:tblCellMar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2381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6690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对策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W2 训练不收敛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官方配置原样跑基本不会失败；若失败，直接用官方 checkpoint 做 W3 实验（实验方法不变，简历如实写复现+评测）</w:t>
            </w:r>
          </w:p>
        </w:tc>
      </w:tr>
      <w:tr>
        <w:trPr>
          <w:cantSplit/>
        </w:trPr>
        <w:tc>
          <w:tcPr>
            <w:tcW w:type="dxa" w:w="2381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显存不足 1024 envs</w:t>
            </w:r>
          </w:p>
        </w:tc>
        <w:tc>
          <w:tcPr>
            <w:tcW w:type="dxa" w:w="6690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降到 512/256，iter 数加倍；W2 周二是唯一重试窗口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环境安装卡死（Isaac Lab 常见）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W1 前两天专项处理；不行切 WSL2；仍不行用云 GPU（按小时租）</w:t>
            </w:r>
          </w:p>
        </w:tc>
      </w:tr>
      <w:tr>
        <w:trPr>
          <w:cantSplit/>
        </w:trPr>
        <w:tc>
          <w:tcPr>
            <w:tcW w:type="dxa" w:w="2381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中期检查与实验冲突</w:t>
            </w:r>
          </w:p>
        </w:tc>
        <w:tc>
          <w:tcPr>
            <w:tcW w:type="dxa" w:w="6690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中期材料周一整理，只呈现已有数据，不为检查赶新实验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B7A"/>
        <w:sz w:val="18"/>
      </w:rPr>
      <w:fldChar w:fldCharType="begin"/>
      <w:instrText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