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interfaz: Entradas / Inventario ↔ Notificaciones</w:t>
      </w:r>
    </w:p>
    <w:p>
      <w:r>
        <w:t>Versión: 2.0 (Actualización de payload)</w:t>
      </w:r>
    </w:p>
    <w:p>
      <w:r>
        <w:t>Equipo consumidor: Entradas / Inventario</w:t>
      </w:r>
    </w:p>
    <w:p>
      <w:r>
        <w:t>Equipo proveedor: Notificaciones</w:t>
      </w:r>
    </w:p>
    <w:p>
      <w:r>
        <w:t>Basado en: Diagrama de Secuencia "Proceso de Compra" (Distribución Paralela) y revisión de requerimientos de Notificaciones.</w:t>
      </w:r>
    </w:p>
    <w:p>
      <w:pPr>
        <w:pStyle w:val="Heading1"/>
      </w:pPr>
      <w:r>
        <w:t>1. Propósito</w:t>
      </w:r>
    </w:p>
    <w:p>
      <w:r>
        <w:t>El equipo de Entradas/Inventario (consumidor) requiere enviar la información detallada de la compra exitosa, incluyendo el código QR y los datos del evento, al microservicio de Notificaciones (proveedor). Esto permite que Notificaciones envíe un correo electrónico al cliente con su ticket definitivo.</w:t>
      </w:r>
    </w:p>
    <w:p>
      <w:pPr>
        <w:pStyle w:val="Heading1"/>
      </w:pPr>
      <w:r>
        <w:t>2. Operación: Enviar Ticket por Correo (enviar_qr_notificacion)</w:t>
      </w:r>
    </w:p>
    <w:p>
      <w:pPr>
        <w:pStyle w:val="Heading2"/>
      </w:pPr>
      <w:r>
        <w:t>2.1 Descripción</w:t>
      </w:r>
    </w:p>
    <w:p>
      <w:r>
        <w:t>Recibe los datos de contacto del usuario, la información del evento y el QR generado para encolar/programar el despacho del correo electrónico con la entrada.</w:t>
      </w:r>
    </w:p>
    <w:p>
      <w:pPr>
        <w:pStyle w:val="Heading2"/>
      </w:pPr>
      <w:r>
        <w:t>2.2 Quién la expone</w:t>
      </w:r>
    </w:p>
    <w:p>
      <w:r>
        <w:t>Equipo Notificaciones.</w:t>
      </w:r>
    </w:p>
    <w:p>
      <w:pPr>
        <w:pStyle w:val="Heading2"/>
      </w:pPr>
      <w:r>
        <w:t>2.3 Quién la consume</w:t>
      </w:r>
    </w:p>
    <w:p>
      <w:r>
        <w:t>Equipo Entradas / Inventario, dentro del bloque de "Distribución Paralela" de la Fase 3, una vez que la entrada está consolidada y el código QR ha sido generado.</w:t>
      </w:r>
    </w:p>
    <w:p>
      <w:pPr>
        <w:pStyle w:val="Heading2"/>
      </w:pPr>
      <w:r>
        <w:t>2.4 Endpoint propuesto</w:t>
      </w:r>
    </w:p>
    <w:p>
      <w:r>
        <w:t>POST /api/v1/notificaciones/envio-ticket</w:t>
      </w:r>
    </w:p>
    <w:p>
      <w:pPr>
        <w:pStyle w:val="Heading2"/>
      </w:pPr>
      <w:r>
        <w:t>2.5 Request (lo que se envía)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correo_comprador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Correo electrónico validado del cliente (obtenido desde Auth).</w:t>
            </w:r>
          </w:p>
        </w:tc>
      </w:tr>
      <w:tr>
        <w:tc>
          <w:tcPr>
            <w:tcW w:type="dxa" w:w="2160"/>
          </w:tcPr>
          <w:p>
            <w:r>
              <w:t>nombre_comprador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Nombre del cliente (obtenido desde Auth).</w:t>
            </w:r>
          </w:p>
        </w:tc>
      </w:tr>
      <w:tr>
        <w:tc>
          <w:tcPr>
            <w:tcW w:type="dxa" w:w="2160"/>
          </w:tcPr>
          <w:p>
            <w:r>
              <w:t>nombre_evento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Nombre del evento.</w:t>
            </w:r>
          </w:p>
        </w:tc>
      </w:tr>
      <w:tr>
        <w:tc>
          <w:tcPr>
            <w:tcW w:type="dxa" w:w="2160"/>
          </w:tcPr>
          <w:p>
            <w:r>
              <w:t>fecha_evento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Fecha en la que se realizará el evento.</w:t>
            </w:r>
          </w:p>
        </w:tc>
      </w:tr>
      <w:tr>
        <w:tc>
          <w:tcPr>
            <w:tcW w:type="dxa" w:w="2160"/>
          </w:tcPr>
          <w:p>
            <w:r>
              <w:t>hora_evento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Hora de inicio del evento.</w:t>
            </w:r>
          </w:p>
        </w:tc>
      </w:tr>
      <w:tr>
        <w:tc>
          <w:tcPr>
            <w:tcW w:type="dxa" w:w="2160"/>
          </w:tcPr>
          <w:p>
            <w:r>
              <w:t>qr_data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URL de acceso directo al código QR en el bucket de almacenamiento (o string Base64).</w:t>
            </w:r>
          </w:p>
        </w:tc>
      </w:tr>
    </w:tbl>
    <w:p>
      <w:r>
        <w:br/>
        <w:t>Ejemplo Body:</w:t>
      </w:r>
    </w:p>
    <w:p>
      <w:r>
        <w:t>{</w:t>
        <w:br/>
        <w:t xml:space="preserve">  "correo_comprador": "estudiante@alumnos.uv.cl",</w:t>
        <w:br/>
        <w:t xml:space="preserve">  "nombre_comprador": "Sebastián Fuentes",</w:t>
        <w:br/>
        <w:t xml:space="preserve">  "nombre_evento": "Fiesta Mechona Info",</w:t>
        <w:br/>
        <w:t xml:space="preserve">  "fecha_evento": "2026-11-20",</w:t>
        <w:br/>
        <w:t xml:space="preserve">  "hora_evento": "22:00",</w:t>
        <w:br/>
        <w:t xml:space="preserve">  "qr_data": "https://storage.midominio.com/qr/tk-12345.png"</w:t>
        <w:br/>
        <w:t>}</w:t>
      </w:r>
    </w:p>
    <w:p>
      <w:pPr>
        <w:pStyle w:val="Heading2"/>
      </w:pPr>
      <w:r>
        <w:t>2.6 Response (lo que se recibe)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Estado de la solicitud (ej. PROGRAMADO, EN_COLA).</w:t>
            </w:r>
          </w:p>
        </w:tc>
      </w:tr>
      <w:tr>
        <w:tc>
          <w:tcPr>
            <w:tcW w:type="dxa" w:w="2160"/>
          </w:tcPr>
          <w:p>
            <w:r>
              <w:t>mensaje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Confirmación de recepción para el despacho.</w:t>
            </w:r>
          </w:p>
        </w:tc>
      </w:tr>
    </w:tbl>
    <w:p>
      <w:r>
        <w:br/>
        <w:t>Ejemplo:</w:t>
      </w:r>
    </w:p>
    <w:p>
      <w:r>
        <w:t>{</w:t>
        <w:br/>
        <w:t xml:space="preserve">  "estado": "PROGRAMADO",</w:t>
        <w:br/>
        <w:t xml:space="preserve">  "mensaje": "El envío del correo con el QR ha sido encolado exitosamente."</w:t>
        <w:br/>
        <w:t>}</w:t>
      </w:r>
    </w:p>
    <w:p>
      <w:r>
        <w:t>Nota de diseño: El microservicio de Notificaciones procesa el envío de forma asíncrona por detrás. La respuesta rápida confirma únicamente que recibió los datos correctamente, para no bloquear a Entradas.</w:t>
      </w:r>
    </w:p>
    <w:p>
      <w:pPr>
        <w:pStyle w:val="Heading2"/>
      </w:pPr>
      <w:r>
        <w:t>2.7 Códigos de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Significado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Faltan parámetros obligatorios (ej. correo o QR no enviado).</w:t>
            </w:r>
          </w:p>
        </w:tc>
      </w:tr>
      <w:tr>
        <w:tc>
          <w:tcPr>
            <w:tcW w:type="dxa" w:w="4320"/>
          </w:tcPr>
          <w:p>
            <w:r>
              <w:t>500</w:t>
            </w:r>
          </w:p>
        </w:tc>
        <w:tc>
          <w:tcPr>
            <w:tcW w:type="dxa" w:w="4320"/>
          </w:tcPr>
          <w:p>
            <w:r>
              <w:t>Error interno del servicio de Notificaciones al encolar el correo.</w:t>
            </w:r>
          </w:p>
        </w:tc>
      </w:tr>
    </w:tbl>
    <w:p>
      <w:pPr>
        <w:pStyle w:val="Heading2"/>
      </w:pPr>
      <w:r>
        <w:t>2.8 Tiempo de respuesta esperado (SLA)</w:t>
      </w:r>
    </w:p>
    <w:p>
      <w:r>
        <w:t>&lt; 200 ms (Solo acuse de recibo y encolamiento).</w:t>
      </w:r>
    </w:p>
    <w:p>
      <w:pPr>
        <w:pStyle w:val="Heading1"/>
      </w:pPr>
      <w:r>
        <w:t>3. Reglas de uso (lado consumidor)</w:t>
      </w:r>
    </w:p>
    <w:p>
      <w:r>
        <w:t>1. Entradas debe consolidar la información obtenida desde Auth (nombre, correo) y de Catálogo/Panel (evento, fecha, hora) para enviar un payload completo y evitar que Notificaciones tenga que ir a buscar datos extra.</w:t>
        <w:br/>
        <w:t>2. La llamada debe ejecutarse en paralelo (Promise.all o equivalente) junto con las comunicaciones hacia Catálogo y Check-in.</w:t>
        <w:br/>
        <w:t>3. Entradas asume que al recibir HTTP 200/202, el envío final hacia el usuario es responsabilidad exclusiva de Notificaciones.</w:t>
      </w:r>
    </w:p>
    <w:p>
      <w:pPr>
        <w:pStyle w:val="Heading1"/>
      </w:pPr>
      <w:r>
        <w:t>4. Versionado y cambios</w:t>
      </w:r>
    </w:p>
    <w:p>
      <w:r>
        <w:t>Cualquier cambio en la estructura del payload (ej. añadir un template HTML específico o campos extra para el correo) debe ser notificado mediante un cambio de versión.</w:t>
      </w:r>
    </w:p>
    <w:p>
      <w:pPr>
        <w:pStyle w:val="Heading1"/>
      </w:pPr>
      <w:r>
        <w:t>5. Dueños del contrato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Equipo</w:t>
            </w:r>
          </w:p>
        </w:tc>
        <w:tc>
          <w:tcPr>
            <w:tcW w:type="dxa" w:w="2880"/>
          </w:tcPr>
          <w:p>
            <w:r>
              <w:t>Contacto</w:t>
            </w:r>
          </w:p>
        </w:tc>
      </w:tr>
      <w:tr>
        <w:tc>
          <w:tcPr>
            <w:tcW w:type="dxa" w:w="2880"/>
          </w:tcPr>
          <w:p>
            <w:r>
              <w:t>Dueño del contrato</w:t>
            </w:r>
          </w:p>
        </w:tc>
        <w:tc>
          <w:tcPr>
            <w:tcW w:type="dxa" w:w="2880"/>
          </w:tcPr>
          <w:p>
            <w:r>
              <w:t>Notificaciones</w:t>
            </w:r>
          </w:p>
        </w:tc>
        <w:tc>
          <w:tcPr>
            <w:tcW w:type="dxa" w:w="2880"/>
          </w:tcPr>
          <w:p>
            <w:r>
              <w:t>[Representante de Notificaciones]</w:t>
            </w:r>
          </w:p>
        </w:tc>
      </w:tr>
      <w:tr>
        <w:tc>
          <w:tcPr>
            <w:tcW w:type="dxa" w:w="2880"/>
          </w:tcPr>
          <w:p>
            <w:r>
              <w:t>Consumidor principal</w:t>
            </w:r>
          </w:p>
        </w:tc>
        <w:tc>
          <w:tcPr>
            <w:tcW w:type="dxa" w:w="2880"/>
          </w:tcPr>
          <w:p>
            <w:r>
              <w:t>Entradas / Inventario</w:t>
            </w:r>
          </w:p>
        </w:tc>
        <w:tc>
          <w:tcPr>
            <w:tcW w:type="dxa" w:w="2880"/>
          </w:tcPr>
          <w:p>
            <w:r>
              <w:t>Sebastián Fuentes (Scrum Master)</w:t>
            </w:r>
          </w:p>
        </w:tc>
      </w:tr>
    </w:tbl>
    <w:p>
      <w:pPr>
        <w:pStyle w:val="Heading1"/>
      </w:pPr>
      <w:r>
        <w:t>6. Pendientes a acordar (OPCIONAL PREVIO ACUERDO)</w:t>
      </w:r>
    </w:p>
    <w:p>
      <w:r>
        <w:t>☐ Confirmar si Notificaciones prefiere recibir esta solicitud mediante HTTP REST (POST) o si este flujo se manejará publicando un evento (ej. "entrada.consolidada") directamente en RabbitMQ.</w:t>
      </w:r>
    </w:p>
    <w:p>
      <w:r>
        <w:t>☐ Confirmar el formato exacto del QR (URL de imagen en el bucket vs String en Base64).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