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Contrato de interfaz: Entradas / Inventario ↔ Catálogo de Eventos</w:t>
      </w:r>
    </w:p>
    <w:p>
      <w:r>
        <w:t>Versión: 1.0</w:t>
      </w:r>
    </w:p>
    <w:p>
      <w:r>
        <w:t>Equipo consumidor: Entradas / Inventario</w:t>
      </w:r>
    </w:p>
    <w:p>
      <w:r>
        <w:t>Equipo proveedor: Catálogo de Eventos</w:t>
      </w:r>
    </w:p>
    <w:p>
      <w:r>
        <w:t>Basado en: Diagrama de Secuencia "Proceso de Compra" (Distribución Paralela).</w:t>
      </w:r>
    </w:p>
    <w:p>
      <w:pPr>
        <w:pStyle w:val="Heading1"/>
      </w:pPr>
      <w:r>
        <w:t>1. Propósito</w:t>
      </w:r>
    </w:p>
    <w:p>
      <w:r>
        <w:t>El equipo de Entradas/Inventario (consumidor) necesita enviar el stock actualizado al microservicio de Catálogo de Eventos (proveedor) después de concretar una compra o emisión de entradas exitosa. Esto permite que el Catálogo refresque su base de datos de lectura (vista) y muestre la disponibilidad real a los clientes que están navegando de manera rápida y sin tener que consultar a Entradas en cada momento.</w:t>
      </w:r>
    </w:p>
    <w:p>
      <w:pPr>
        <w:pStyle w:val="Heading1"/>
      </w:pPr>
      <w:r>
        <w:t>2. Operación: Actualizar Stock (confirmar_compra_exitosa)</w:t>
      </w:r>
    </w:p>
    <w:p>
      <w:pPr>
        <w:pStyle w:val="Heading2"/>
      </w:pPr>
      <w:r>
        <w:t>2.1 Descripción</w:t>
      </w:r>
    </w:p>
    <w:p>
      <w:r>
        <w:t>Actualiza la cantidad de entradas disponibles (nuevo_stock) de un evento específico para mantener la consistencia eventual entre la fuente de verdad (Inventario) y la vista de cliente (Catálogo).</w:t>
      </w:r>
    </w:p>
    <w:p>
      <w:pPr>
        <w:pStyle w:val="Heading2"/>
      </w:pPr>
      <w:r>
        <w:t>2.2 Quién la expone</w:t>
      </w:r>
    </w:p>
    <w:p>
      <w:r>
        <w:t>Equipo Catálogo de Eventos.</w:t>
      </w:r>
    </w:p>
    <w:p>
      <w:pPr>
        <w:pStyle w:val="Heading2"/>
      </w:pPr>
      <w:r>
        <w:t>2.3 Quién la consume</w:t>
      </w:r>
    </w:p>
    <w:p>
      <w:r>
        <w:t>Equipo Entradas / Inventario, en el bloque de "Distribución Paralela" de la Fase 3, inmediatamente después de descontar el stock en su propia base de datos.</w:t>
      </w:r>
    </w:p>
    <w:p>
      <w:pPr>
        <w:pStyle w:val="Heading2"/>
      </w:pPr>
      <w:r>
        <w:t>2.4 Endpoint propuesto</w:t>
      </w:r>
    </w:p>
    <w:p>
      <w:r>
        <w:t>PATCH /api/v1/catalogo/eventos/{id_evento}/stock</w:t>
      </w:r>
    </w:p>
    <w:p>
      <w:pPr>
        <w:pStyle w:val="Heading2"/>
      </w:pPr>
      <w:r>
        <w:t>2.5 Request (lo que se envía)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Campo</w:t>
            </w:r>
          </w:p>
        </w:tc>
        <w:tc>
          <w:tcPr>
            <w:tcW w:type="dxa" w:w="2160"/>
          </w:tcPr>
          <w:p>
            <w:r>
              <w:t>Tipo</w:t>
            </w:r>
          </w:p>
        </w:tc>
        <w:tc>
          <w:tcPr>
            <w:tcW w:type="dxa" w:w="2160"/>
          </w:tcPr>
          <w:p>
            <w:r>
              <w:t>Obligatorio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</w:tr>
      <w:tr>
        <w:tc>
          <w:tcPr>
            <w:tcW w:type="dxa" w:w="2160"/>
          </w:tcPr>
          <w:p>
            <w:r>
              <w:t>id_evento (En URL)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Identificador del evento a actualizar.</w:t>
            </w:r>
          </w:p>
        </w:tc>
      </w:tr>
      <w:tr>
        <w:tc>
          <w:tcPr>
            <w:tcW w:type="dxa" w:w="2160"/>
          </w:tcPr>
          <w:p>
            <w:r>
              <w:t>nuevo_stock (En Body)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El valor absoluto del stock restante.</w:t>
            </w:r>
          </w:p>
        </w:tc>
      </w:tr>
    </w:tbl>
    <w:p>
      <w:r>
        <w:br/>
        <w:t>Ejemplo Body:</w:t>
      </w:r>
    </w:p>
    <w:p>
      <w:r>
        <w:t>{</w:t>
        <w:br/>
        <w:t xml:space="preserve">  "nuevo_stock": 148</w:t>
        <w:br/>
        <w:t>}</w:t>
      </w:r>
    </w:p>
    <w:p>
      <w:pPr>
        <w:pStyle w:val="Heading2"/>
      </w:pPr>
      <w:r>
        <w:t>2.6 Response (lo que se recibe)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Campo</w:t>
            </w:r>
          </w:p>
        </w:tc>
        <w:tc>
          <w:tcPr>
            <w:tcW w:type="dxa" w:w="2160"/>
          </w:tcPr>
          <w:p>
            <w:r>
              <w:t>Tipo</w:t>
            </w:r>
          </w:p>
        </w:tc>
        <w:tc>
          <w:tcPr>
            <w:tcW w:type="dxa" w:w="2160"/>
          </w:tcPr>
          <w:p>
            <w:r>
              <w:t>Obligatorio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</w:tr>
      <w:tr>
        <w:tc>
          <w:tcPr>
            <w:tcW w:type="dxa" w:w="2160"/>
          </w:tcPr>
          <w:p>
            <w:r>
              <w:t>mensaje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Confirmación de la actualización (o HTTP 204 No Content).</w:t>
            </w:r>
          </w:p>
        </w:tc>
      </w:tr>
    </w:tbl>
    <w:p>
      <w:r>
        <w:br/>
        <w:t>Ejemplo:</w:t>
      </w:r>
    </w:p>
    <w:p>
      <w:r>
        <w:t>{</w:t>
        <w:br/>
        <w:t xml:space="preserve">  "mensaje": "Stock de Catálogo actualizado correctamente"</w:t>
        <w:br/>
        <w:t>}</w:t>
      </w:r>
    </w:p>
    <w:p>
      <w:pPr>
        <w:pStyle w:val="Heading2"/>
      </w:pPr>
      <w:r>
        <w:t>2.7 Códigos de error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Código</w:t>
            </w:r>
          </w:p>
        </w:tc>
        <w:tc>
          <w:tcPr>
            <w:tcW w:type="dxa" w:w="4320"/>
          </w:tcPr>
          <w:p>
            <w:r>
              <w:t>Significado</w:t>
            </w:r>
          </w:p>
        </w:tc>
      </w:tr>
      <w:tr>
        <w:tc>
          <w:tcPr>
            <w:tcW w:type="dxa" w:w="4320"/>
          </w:tcPr>
          <w:p>
            <w:r>
              <w:t>400</w:t>
            </w:r>
          </w:p>
        </w:tc>
        <w:tc>
          <w:tcPr>
            <w:tcW w:type="dxa" w:w="4320"/>
          </w:tcPr>
          <w:p>
            <w:r>
              <w:t>Datos inválidos (ej. stock con formato incorrecto).</w:t>
            </w:r>
          </w:p>
        </w:tc>
      </w:tr>
      <w:tr>
        <w:tc>
          <w:tcPr>
            <w:tcW w:type="dxa" w:w="4320"/>
          </w:tcPr>
          <w:p>
            <w:r>
              <w:t>404</w:t>
            </w:r>
          </w:p>
        </w:tc>
        <w:tc>
          <w:tcPr>
            <w:tcW w:type="dxa" w:w="4320"/>
          </w:tcPr>
          <w:p>
            <w:r>
              <w:t>Evento no existe en la base de datos de Catálogo.</w:t>
            </w:r>
          </w:p>
        </w:tc>
      </w:tr>
      <w:tr>
        <w:tc>
          <w:tcPr>
            <w:tcW w:type="dxa" w:w="4320"/>
          </w:tcPr>
          <w:p>
            <w:r>
              <w:t>500</w:t>
            </w:r>
          </w:p>
        </w:tc>
        <w:tc>
          <w:tcPr>
            <w:tcW w:type="dxa" w:w="4320"/>
          </w:tcPr>
          <w:p>
            <w:r>
              <w:t>Error interno en Catálogo al actualizar.</w:t>
            </w:r>
          </w:p>
        </w:tc>
      </w:tr>
    </w:tbl>
    <w:p>
      <w:pPr>
        <w:pStyle w:val="Heading2"/>
      </w:pPr>
      <w:r>
        <w:t>2.8 Tiempo de respuesta esperado (SLA)</w:t>
      </w:r>
    </w:p>
    <w:p>
      <w:r>
        <w:t>&lt; 300 ms (Es una operación ligera de actualización).</w:t>
      </w:r>
    </w:p>
    <w:p>
      <w:pPr>
        <w:pStyle w:val="Heading1"/>
      </w:pPr>
      <w:r>
        <w:t>3. Reglas de uso (lado consumidor)</w:t>
      </w:r>
    </w:p>
    <w:p>
      <w:r>
        <w:t>1. Entradas debe enviar el stock exacto restante (la fuente de verdad), no la cantidad descontada.</w:t>
        <w:br/>
        <w:t>2. Entradas ejecuta esta llamada en paralelo a la comunicación con Check-in y Notificaciones para no bloquear el flujo.</w:t>
        <w:br/>
        <w:t>3. Si la comunicación falla, Entradas debería generar un log o un mecanismo de reintento para mantener la consistencia eventual.</w:t>
      </w:r>
    </w:p>
    <w:p>
      <w:pPr>
        <w:pStyle w:val="Heading1"/>
      </w:pPr>
      <w:r>
        <w:t>4. Versionado y cambios</w:t>
      </w:r>
    </w:p>
    <w:p>
      <w:r>
        <w:t>Cualquier modificación en los tipos de datos del stock o el ID del evento debe comunicarse con anticipación.</w:t>
      </w:r>
    </w:p>
    <w:p>
      <w:pPr>
        <w:pStyle w:val="Heading1"/>
      </w:pPr>
      <w:r>
        <w:t>5. Dueños del contrato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</w:t>
            </w:r>
          </w:p>
        </w:tc>
        <w:tc>
          <w:tcPr>
            <w:tcW w:type="dxa" w:w="2880"/>
          </w:tcPr>
          <w:p>
            <w:r>
              <w:t>Equipo</w:t>
            </w:r>
          </w:p>
        </w:tc>
        <w:tc>
          <w:tcPr>
            <w:tcW w:type="dxa" w:w="2880"/>
          </w:tcPr>
          <w:p>
            <w:r>
              <w:t>Contacto</w:t>
            </w:r>
          </w:p>
        </w:tc>
      </w:tr>
      <w:tr>
        <w:tc>
          <w:tcPr>
            <w:tcW w:type="dxa" w:w="2880"/>
          </w:tcPr>
          <w:p>
            <w:r>
              <w:t>Dueño del contrato</w:t>
            </w:r>
          </w:p>
        </w:tc>
        <w:tc>
          <w:tcPr>
            <w:tcW w:type="dxa" w:w="2880"/>
          </w:tcPr>
          <w:p>
            <w:r>
              <w:t>Catálogo de Eventos</w:t>
            </w:r>
          </w:p>
        </w:tc>
        <w:tc>
          <w:tcPr>
            <w:tcW w:type="dxa" w:w="2880"/>
          </w:tcPr>
          <w:p>
            <w:r>
              <w:t>[Representante de Catálogo]</w:t>
            </w:r>
          </w:p>
        </w:tc>
      </w:tr>
      <w:tr>
        <w:tc>
          <w:tcPr>
            <w:tcW w:type="dxa" w:w="2880"/>
          </w:tcPr>
          <w:p>
            <w:r>
              <w:t>Consumidor principal</w:t>
            </w:r>
          </w:p>
        </w:tc>
        <w:tc>
          <w:tcPr>
            <w:tcW w:type="dxa" w:w="2880"/>
          </w:tcPr>
          <w:p>
            <w:r>
              <w:t>Entradas / Inventario</w:t>
            </w:r>
          </w:p>
        </w:tc>
        <w:tc>
          <w:tcPr>
            <w:tcW w:type="dxa" w:w="2880"/>
          </w:tcPr>
          <w:p>
            <w:r>
              <w:t>Sebastián Fuentes (Scrum Master)</w:t>
            </w:r>
          </w:p>
        </w:tc>
      </w:tr>
    </w:tbl>
    <w:p>
      <w:pPr>
        <w:pStyle w:val="Heading1"/>
      </w:pPr>
      <w:r>
        <w:t>6. Pendientes a acordar (OPCIONAL PREVIO ACUERDO)</w:t>
      </w:r>
    </w:p>
    <w:p>
      <w:r>
        <w:t>☐ Confirmar con Catálogo si esta actualización será estrictamente vía HTTP REST (PATCH) o si el profesor prefiere que Catálogo se suscriba a un evento "stock.actualizado" en el broker RabbitMQ.</w:t>
      </w:r>
    </w:p>
    <w:p>
      <w:r>
        <w:t>☐ Confirmar si Catálogo necesita algún dato adicional del evento o solo el campo "nuevo_stock".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