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interfaz: Entradas / Inventario ↔ Notificaciones</w:t>
      </w:r>
    </w:p>
    <w:p>
      <w:r>
        <w:t>Versión: 3.0 (Reafirmación de arquitectura REST HTTP)</w:t>
      </w:r>
    </w:p>
    <w:p>
      <w:r>
        <w:t>Equipo consumidor: Entradas / Inventario</w:t>
      </w:r>
    </w:p>
    <w:p>
      <w:r>
        <w:t>Equipo proveedor: Notificaciones</w:t>
      </w:r>
    </w:p>
    <w:p>
      <w:r>
        <w:t>Basado en: HU1 - Recibir notificación de compra y resolución arquitectónica de integración.</w:t>
      </w:r>
    </w:p>
    <w:p>
      <w:pPr>
        <w:pStyle w:val="Heading1"/>
      </w:pPr>
      <w:r>
        <w:t>1. Propósito</w:t>
      </w:r>
    </w:p>
    <w:p>
      <w:r>
        <w:t>El equipo de Entradas/Inventario (consumidor) requiere enviar la información detallada de la compra exitosa, incluyendo el código QR y los datos del evento, al microservicio de Notificaciones (proveedor). Se establece el uso estricto de HTTP REST para obtener una confirmación síncrona de que los datos fueron recibidos y encolados exitosamente por Notificaciones, delegando a este último la responsabilidad asíncrona del envío final del correo.</w:t>
      </w:r>
    </w:p>
    <w:p>
      <w:pPr>
        <w:pStyle w:val="Heading1"/>
      </w:pPr>
      <w:r>
        <w:t>2. Operación: Enviar Ticket por Correo (enviar_qr_notificacion)</w:t>
      </w:r>
    </w:p>
    <w:p>
      <w:pPr>
        <w:pStyle w:val="Heading2"/>
      </w:pPr>
      <w:r>
        <w:t>2.1 Descripción</w:t>
      </w:r>
    </w:p>
    <w:p>
      <w:r>
        <w:t>Recibe los datos de contacto del usuario, la información del evento y el QR generado para encolar/programar el despacho del correo electrónico con la entrada.</w:t>
      </w:r>
    </w:p>
    <w:p>
      <w:pPr>
        <w:pStyle w:val="Heading2"/>
      </w:pPr>
      <w:r>
        <w:t>2.2 Quién la expone</w:t>
      </w:r>
    </w:p>
    <w:p>
      <w:r>
        <w:t>Equipo Notificaciones (Proveedor).</w:t>
      </w:r>
    </w:p>
    <w:p>
      <w:pPr>
        <w:pStyle w:val="Heading2"/>
      </w:pPr>
      <w:r>
        <w:t>2.3 Quién la consume</w:t>
      </w:r>
    </w:p>
    <w:p>
      <w:r>
        <w:t>Equipo Entradas / Inventario (Consumidor), dentro del bloque de "Distribución Paralela" de la Fase 3, una vez que la entrada está consolidada y el código QR ha sido generado.</w:t>
      </w:r>
    </w:p>
    <w:p>
      <w:pPr>
        <w:pStyle w:val="Heading2"/>
      </w:pPr>
      <w:r>
        <w:t>2.4 Endpoint propuesto</w:t>
      </w:r>
    </w:p>
    <w:p>
      <w:r>
        <w:t>POST /api/v1/notificaciones/envio-ticket</w:t>
      </w:r>
    </w:p>
    <w:p>
      <w:pPr>
        <w:pStyle w:val="Heading2"/>
      </w:pPr>
      <w:r>
        <w:t>2.5 Request (lo que se envía)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correo_comprador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Correo electrónico validado del cliente (obtenido desde Auth).</w:t>
            </w:r>
          </w:p>
        </w:tc>
      </w:tr>
      <w:tr>
        <w:tc>
          <w:tcPr>
            <w:tcW w:type="dxa" w:w="2160"/>
          </w:tcPr>
          <w:p>
            <w:r>
              <w:t>nombre_comprador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Nombre del cliente (obtenido desde Auth).</w:t>
            </w:r>
          </w:p>
        </w:tc>
      </w:tr>
      <w:tr>
        <w:tc>
          <w:tcPr>
            <w:tcW w:type="dxa" w:w="2160"/>
          </w:tcPr>
          <w:p>
            <w:r>
              <w:t>nombre_evento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Nombre del evento.</w:t>
            </w:r>
          </w:p>
        </w:tc>
      </w:tr>
      <w:tr>
        <w:tc>
          <w:tcPr>
            <w:tcW w:type="dxa" w:w="2160"/>
          </w:tcPr>
          <w:p>
            <w:r>
              <w:t>fecha_evento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en la que se realizará el evento.</w:t>
            </w:r>
          </w:p>
        </w:tc>
      </w:tr>
      <w:tr>
        <w:tc>
          <w:tcPr>
            <w:tcW w:type="dxa" w:w="2160"/>
          </w:tcPr>
          <w:p>
            <w:r>
              <w:t>hora_evento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Hora de inicio del evento.</w:t>
            </w:r>
          </w:p>
        </w:tc>
      </w:tr>
      <w:tr>
        <w:tc>
          <w:tcPr>
            <w:tcW w:type="dxa" w:w="2160"/>
          </w:tcPr>
          <w:p>
            <w:r>
              <w:t>qr_data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URL de acceso directo al código QR en el bucket de almacenamiento (o string Base64).</w:t>
            </w:r>
          </w:p>
        </w:tc>
      </w:tr>
    </w:tbl>
    <w:p>
      <w:r>
        <w:br/>
        <w:t>Ejemplo Body:</w:t>
      </w:r>
    </w:p>
    <w:p>
      <w:r>
        <w:t>{</w:t>
        <w:br/>
        <w:t xml:space="preserve">  "correo_comprador": "estudiante@alumnos.uv.cl",</w:t>
        <w:br/>
        <w:t xml:space="preserve">  "nombre_comprador": "Sebastián Fuentes",</w:t>
        <w:br/>
        <w:t xml:space="preserve">  "nombre_evento": "Fiesta Mechona Info",</w:t>
        <w:br/>
        <w:t xml:space="preserve">  "fecha_evento": "2026-11-20",</w:t>
        <w:br/>
        <w:t xml:space="preserve">  "hora_evento": "22:00",</w:t>
        <w:br/>
        <w:t xml:space="preserve">  "qr_data": "https://storage.midominio.com/qr/tk-12345.png"</w:t>
        <w:br/>
        <w:t>}</w:t>
      </w:r>
    </w:p>
    <w:p>
      <w:pPr>
        <w:pStyle w:val="Heading2"/>
      </w:pPr>
      <w:r>
        <w:t>2.6 Response (lo que se recibe)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Estado de la solicitud (ej. PROGRAMADO, EN_COLA).</w:t>
            </w:r>
          </w:p>
        </w:tc>
      </w:tr>
      <w:tr>
        <w:tc>
          <w:tcPr>
            <w:tcW w:type="dxa" w:w="2160"/>
          </w:tcPr>
          <w:p>
            <w:r>
              <w:t>mensaje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Confirmación de recepción para el despacho.</w:t>
            </w:r>
          </w:p>
        </w:tc>
      </w:tr>
    </w:tbl>
    <w:p>
      <w:r>
        <w:br/>
        <w:t>Ejemplo (HTTP 202 Accepted):</w:t>
      </w:r>
    </w:p>
    <w:p>
      <w:r>
        <w:t>{</w:t>
        <w:br/>
        <w:t xml:space="preserve">  "estado": "PROGRAMADO",</w:t>
        <w:br/>
        <w:t xml:space="preserve">  "mensaje": "El envío del correo con el QR ha sido encolado exitosamente."</w:t>
        <w:br/>
        <w:t>}</w:t>
      </w:r>
    </w:p>
    <w:p>
      <w:pPr>
        <w:pStyle w:val="Heading2"/>
      </w:pPr>
      <w:r>
        <w:t>2.7 Códigos de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Faltan parámetros obligatorios en el payload.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Error interno del servicio de Notificaciones al encolar el correo.</w:t>
            </w:r>
          </w:p>
        </w:tc>
      </w:tr>
    </w:tbl>
    <w:p>
      <w:pPr>
        <w:pStyle w:val="Heading2"/>
      </w:pPr>
      <w:r>
        <w:t>2.8 Tiempo de respuesta esperado (SLA)</w:t>
      </w:r>
    </w:p>
    <w:p>
      <w:r>
        <w:t>&lt; 200 ms (Aplica únicamente para el acuse de recibo HTTP; el envío del correo real puede tomar más tiempo por detrás).</w:t>
      </w:r>
    </w:p>
    <w:p>
      <w:pPr>
        <w:pStyle w:val="Heading1"/>
      </w:pPr>
      <w:r>
        <w:t>3. Reglas de uso (lado consumidor)</w:t>
      </w:r>
    </w:p>
    <w:p>
      <w:r>
        <w:t>1. Entradas debe consolidar la información obtenida desde Auth (nombre, correo) y de Catálogo/Panel (evento, fecha, hora) para enviar un payload completo.</w:t>
        <w:br/>
        <w:t>2. La llamada HTTP POST debe ejecutarse de forma paralela junto con las comunicaciones hacia Catálogo y Check-in.</w:t>
        <w:br/>
        <w:t>3. Entradas asume que al recibir HTTP 200/202, el envío final hacia el usuario es responsabilidad exclusiva de Notificaciones. En caso de fallo en el envío del correo, Notificaciones deberá manejar sus propios reintentos internos.</w:t>
      </w:r>
    </w:p>
    <w:p>
      <w:pPr>
        <w:pStyle w:val="Heading1"/>
      </w:pPr>
      <w:r>
        <w:t>4. Acuerdos y Decisiones Tomadas</w:t>
      </w:r>
    </w:p>
    <w:p>
      <w:r>
        <w:t>☑ Se descarta el uso de RabbitMQ (Broker) para esta integración específica, ya que Entradas requiere una confirmación HTTP síncrona de que los datos fueron recibidos por Notificaciones.</w:t>
      </w:r>
    </w:p>
    <w:p>
      <w:r>
        <w:t>☑ Se confirma que Notificaciones (Proveedor) expone el endpoint POST, y Entradas (Consumidor) realiza la petición enviando el payload.</w:t>
      </w:r>
    </w:p>
    <w:p>
      <w:r>
        <w:t>☑ Se mantiene la eliminación del campo "cantidad_entradas" acordada en la v2.0.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