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interfaz: Entradas / Inventario ↔ Pagos</w:t>
      </w:r>
    </w:p>
    <w:p>
      <w:r>
        <w:t>Versión: 1.0</w:t>
      </w:r>
    </w:p>
    <w:p>
      <w:r>
        <w:t>Equipo consumidor: Entradas / Inventario</w:t>
      </w:r>
    </w:p>
    <w:p>
      <w:r>
        <w:t>Equipo proveedor: Pagos</w:t>
      </w:r>
    </w:p>
    <w:p>
      <w:r>
        <w:t>Basado en: Diagrama de Secuencia "Proceso de Compra" y Matriz de Dependencia de Datos.</w:t>
      </w:r>
    </w:p>
    <w:p>
      <w:pPr>
        <w:pStyle w:val="Heading1"/>
      </w:pPr>
      <w:r>
        <w:t>1. Propósito</w:t>
      </w:r>
    </w:p>
    <w:p>
      <w:r>
        <w:t>El equipo de Entradas/Inventario (consumidor) necesita enviar los detalles de la orden de compra y el precio final al microservicio de Pagos (proveedor) para que este procese la transacción con el sistema externo. Una vez finalizado, Pagos devuelve el estado de la transacción y el ID de pago para que Entradas pueda consolidar el stock y emitir el QR.</w:t>
      </w:r>
    </w:p>
    <w:p>
      <w:pPr>
        <w:pStyle w:val="Heading1"/>
      </w:pPr>
      <w:r>
        <w:t>2. Operación: Iniciar Pago (iniciar_pago)</w:t>
      </w:r>
    </w:p>
    <w:p>
      <w:pPr>
        <w:pStyle w:val="Heading2"/>
      </w:pPr>
      <w:r>
        <w:t>2.1 Descripción</w:t>
      </w:r>
    </w:p>
    <w:p>
      <w:r>
        <w:t>Recibe los datos de la reserva y el monto a cobrar, gestiona la transacción con la pasarela externa y retorna el estado final del cobro.</w:t>
      </w:r>
    </w:p>
    <w:p>
      <w:pPr>
        <w:pStyle w:val="Heading2"/>
      </w:pPr>
      <w:r>
        <w:t>2.2 Quién la expone</w:t>
      </w:r>
    </w:p>
    <w:p>
      <w:r>
        <w:t>Equipo Pagos.</w:t>
      </w:r>
    </w:p>
    <w:p>
      <w:pPr>
        <w:pStyle w:val="Heading2"/>
      </w:pPr>
      <w:r>
        <w:t>2.3 Quién la consume</w:t>
      </w:r>
    </w:p>
    <w:p>
      <w:r>
        <w:t>Equipo Entradas / Inventario, en el momento en que ya se ha validado el usuario, reservado el stock temporalmente y calculado el precio final (aplicando promociones si corresponde).</w:t>
      </w:r>
    </w:p>
    <w:p>
      <w:pPr>
        <w:pStyle w:val="Heading2"/>
      </w:pPr>
      <w:r>
        <w:t>2.4 Endpoint propuesto</w:t>
      </w:r>
    </w:p>
    <w:p>
      <w:r>
        <w:t>POST /api/v1/pagos/transacciones</w:t>
      </w:r>
    </w:p>
    <w:p>
      <w:pPr>
        <w:pStyle w:val="Heading2"/>
      </w:pPr>
      <w:r>
        <w:t>2.5 Request (lo que se envía)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id_reserva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Identificador de la reserva temporal (holdId) generada por Entradas.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Monto final a cobrar (precio_final).</w:t>
            </w:r>
          </w:p>
        </w:tc>
      </w:tr>
      <w:tr>
        <w:tc>
          <w:tcPr>
            <w:tcW w:type="dxa" w:w="2160"/>
          </w:tcPr>
          <w:p>
            <w:r>
              <w:t>cantidad_entradas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Cantidad de tickets asociados a la orden.</w:t>
            </w:r>
          </w:p>
        </w:tc>
      </w:tr>
      <w:tr>
        <w:tc>
          <w:tcPr>
            <w:tcW w:type="dxa" w:w="2160"/>
          </w:tcPr>
          <w:p>
            <w:r>
              <w:t>token_sesion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Token del usuario para registrar la transacción.</w:t>
            </w:r>
          </w:p>
        </w:tc>
      </w:tr>
    </w:tbl>
    <w:p>
      <w:r>
        <w:br/>
        <w:t>Ejemplo:</w:t>
      </w:r>
    </w:p>
    <w:p>
      <w:r>
        <w:t>{</w:t>
        <w:br/>
        <w:t xml:space="preserve">  "id_reserva": "res-98765",</w:t>
        <w:br/>
        <w:t xml:space="preserve">  "total": 15000,</w:t>
        <w:br/>
        <w:t xml:space="preserve">  "cantidad_entradas": 2,</w:t>
        <w:br/>
        <w:t xml:space="preserve">  "token_sesion": "eyJhbGciOiJIUzI1NiIsInR5cCI6..."</w:t>
        <w:br/>
        <w:t>}</w:t>
      </w:r>
    </w:p>
    <w:p>
      <w:pPr>
        <w:pStyle w:val="Heading2"/>
      </w:pPr>
      <w:r>
        <w:t>2.6 Response (lo que se recibe)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id_pago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Identificador único del pago en el sistema financiero.</w:t>
            </w:r>
          </w:p>
        </w:tc>
      </w:tr>
      <w:tr>
        <w:tc>
          <w:tcPr>
            <w:tcW w:type="dxa" w:w="2160"/>
          </w:tcPr>
          <w:p>
            <w:r>
              <w:t>estado_pago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Estado de la transacción (ej. APROBADO, RECHAZADO).</w:t>
            </w:r>
          </w:p>
        </w:tc>
      </w:tr>
      <w:tr>
        <w:tc>
          <w:tcPr>
            <w:tcW w:type="dxa" w:w="2160"/>
          </w:tcPr>
          <w:p>
            <w:r>
              <w:t>fecha_creacion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Timestamp de la confirmación del pago.</w:t>
            </w:r>
          </w:p>
        </w:tc>
      </w:tr>
    </w:tbl>
    <w:p>
      <w:r>
        <w:br/>
        <w:t>Ejemplo:</w:t>
      </w:r>
    </w:p>
    <w:p>
      <w:r>
        <w:t>{</w:t>
        <w:br/>
        <w:t xml:space="preserve">  "id_pago": "pay-112233",</w:t>
        <w:br/>
        <w:t xml:space="preserve">  "estado_pago": "APROBADO",</w:t>
        <w:br/>
        <w:t xml:space="preserve">  "fecha_creacion": "2026-09-21T15:30:00Z"</w:t>
        <w:br/>
        <w:t>}</w:t>
      </w:r>
    </w:p>
    <w:p>
      <w:r>
        <w:t>Nota de diseño: El microservicio de Entradas NO guarda información bancaria (tarjetas, bancos), solo almacena el "id_pago" y el "estado_pago" para trazabilidad y auditoría.</w:t>
      </w:r>
    </w:p>
    <w:p>
      <w:pPr>
        <w:pStyle w:val="Heading2"/>
      </w:pPr>
      <w:r>
        <w:t>2.7 Códigos de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Datos de pago incompletos o monto inválido.</w:t>
            </w:r>
          </w:p>
        </w:tc>
      </w:tr>
      <w:tr>
        <w:tc>
          <w:tcPr>
            <w:tcW w:type="dxa" w:w="4320"/>
          </w:tcPr>
          <w:p>
            <w:r>
              <w:t>402</w:t>
            </w:r>
          </w:p>
        </w:tc>
        <w:tc>
          <w:tcPr>
            <w:tcW w:type="dxa" w:w="4320"/>
          </w:tcPr>
          <w:p>
            <w:r>
              <w:t>Pago Requerido (Transacción rechazada por fondos insuficientes o banco).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Error de comunicación con el Sistema Externo (pasarela caída).</w:t>
            </w:r>
          </w:p>
        </w:tc>
      </w:tr>
    </w:tbl>
    <w:p>
      <w:pPr>
        <w:pStyle w:val="Heading2"/>
      </w:pPr>
      <w:r>
        <w:t>2.8 Tiempo de respuesta esperado (SLA)</w:t>
      </w:r>
    </w:p>
    <w:p>
      <w:r>
        <w:t>&lt; 2000 ms (El tiempo puede variar por la latencia propia de la pasarela de pagos externa).</w:t>
      </w:r>
    </w:p>
    <w:p>
      <w:pPr>
        <w:pStyle w:val="Heading1"/>
      </w:pPr>
      <w:r>
        <w:t>3. Reglas de uso (lado consumidor)</w:t>
      </w:r>
    </w:p>
    <w:p>
      <w:r>
        <w:t>1. Entradas debe haber calculado el precio final (descontando promociones) antes de invocar a Pagos.</w:t>
        <w:br/>
        <w:t>2. Entradas debe manejar un estado de "reservado" temporal (hold) mientras Pagos responde.</w:t>
        <w:br/>
        <w:t>3. Si la respuesta es HTTP 200 (APROBADO), Entradas consolida el stock y emite el QR. Si es HTTP 402 (RECHAZADO), Entradas libera el stock reservado tras el timeout.</w:t>
      </w:r>
    </w:p>
    <w:p>
      <w:pPr>
        <w:pStyle w:val="Heading1"/>
      </w:pPr>
      <w:r>
        <w:t>4. Versionado y cambios</w:t>
      </w:r>
    </w:p>
    <w:p>
      <w:r>
        <w:t>Cualquier cambio en la estructura del request o en los estados de pago debe comunicarse oportunamente para evitar falsos rechazos o cobros dobles.</w:t>
      </w:r>
    </w:p>
    <w:p>
      <w:pPr>
        <w:pStyle w:val="Heading1"/>
      </w:pPr>
      <w:r>
        <w:t>5. Dueños del contrato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Equipo</w:t>
            </w:r>
          </w:p>
        </w:tc>
        <w:tc>
          <w:tcPr>
            <w:tcW w:type="dxa" w:w="2880"/>
          </w:tcPr>
          <w:p>
            <w:r>
              <w:t>Contacto</w:t>
            </w:r>
          </w:p>
        </w:tc>
      </w:tr>
      <w:tr>
        <w:tc>
          <w:tcPr>
            <w:tcW w:type="dxa" w:w="2880"/>
          </w:tcPr>
          <w:p>
            <w:r>
              <w:t>Dueño del contrato</w:t>
            </w:r>
          </w:p>
        </w:tc>
        <w:tc>
          <w:tcPr>
            <w:tcW w:type="dxa" w:w="2880"/>
          </w:tcPr>
          <w:p>
            <w:r>
              <w:t>Pagos</w:t>
            </w:r>
          </w:p>
        </w:tc>
        <w:tc>
          <w:tcPr>
            <w:tcW w:type="dxa" w:w="2880"/>
          </w:tcPr>
          <w:p>
            <w:r>
              <w:t>[Representante de Pagos]</w:t>
            </w:r>
          </w:p>
        </w:tc>
      </w:tr>
      <w:tr>
        <w:tc>
          <w:tcPr>
            <w:tcW w:type="dxa" w:w="2880"/>
          </w:tcPr>
          <w:p>
            <w:r>
              <w:t>Consumidor principal</w:t>
            </w:r>
          </w:p>
        </w:tc>
        <w:tc>
          <w:tcPr>
            <w:tcW w:type="dxa" w:w="2880"/>
          </w:tcPr>
          <w:p>
            <w:r>
              <w:t>Entradas / Inventario</w:t>
            </w:r>
          </w:p>
        </w:tc>
        <w:tc>
          <w:tcPr>
            <w:tcW w:type="dxa" w:w="2880"/>
          </w:tcPr>
          <w:p>
            <w:r>
              <w:t>Sebastián Fuentes (Scrum Master)</w:t>
            </w:r>
          </w:p>
        </w:tc>
      </w:tr>
    </w:tbl>
    <w:p>
      <w:pPr>
        <w:pStyle w:val="Heading1"/>
      </w:pPr>
      <w:r>
        <w:t>6. Pendientes a acordar (OPCIONAL PREVIO ACUERDO)</w:t>
      </w:r>
    </w:p>
    <w:p>
      <w:r>
        <w:t>☐ Confirmar si Pagos manejará reintentos automáticos ante caídas del sistema externo o si debe hacerlo Entradas.</w:t>
      </w:r>
    </w:p>
    <w:p>
      <w:r>
        <w:t>☐ Confirmar el mecanismo de fallback en caso de que la respuesta de Pagos tarde más del SLA estipulado (timeout).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