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Databricks Data Reliability Framework</w:t>
      </w:r>
    </w:p>
    <w:p>
      <w:pPr>
        <w:jc w:val="center"/>
      </w:pPr>
      <w:r>
        <w:t>Proof-of-Concept Documentation</w:t>
      </w:r>
    </w:p>
    <w:p>
      <w:pPr>
        <w:pStyle w:val="Heading1"/>
      </w:pPr>
      <w:r>
        <w:t>1. Overview</w:t>
      </w:r>
    </w:p>
    <w:p>
      <w:r>
        <w:t>The Databricks Data Reliability Framework is a proof-of-concept designed to improve the reliability of transaction data received from an API using Databricks and PySpark.</w:t>
      </w:r>
    </w:p>
    <w:p>
      <w:r>
        <w:t>The framework combines data quality validation, duplicate detection, invalid-record quarantine, reliability metrics, source-to-target reconciliation, run-level reconciliation, historical volume analysis, and volume anomaly detection.</w:t>
      </w:r>
    </w:p>
    <w:p>
      <w:pPr>
        <w:pStyle w:val="Heading1"/>
      </w:pPr>
      <w:r>
        <w:t>2. Problem Statement</w:t>
      </w:r>
    </w:p>
    <w:p>
      <w:r>
        <w:t>Data pipelines can successfully complete even when the data being delivered is incomplete, invalid, or abnormal.</w:t>
      </w:r>
    </w:p>
    <w:p>
      <w:r>
        <w:t>For example, an API may normally deliver approximately 10,000 records per run but return only 2,100 records on a particular day. If all 2,100 records are processed correctly, traditional reconciliation can still report PASS.</w:t>
      </w:r>
    </w:p>
    <w:p>
      <w:r>
        <w:t>Therefore, pipeline success and reconciliation alone are not sufficient indicators of data reliability. The framework combines data quality, reconciliation, and historical volume analysis.</w:t>
      </w:r>
    </w:p>
    <w:p>
      <w:pPr>
        <w:pStyle w:val="Heading1"/>
      </w:pPr>
      <w:r>
        <w:t>3. Objectives</w:t>
      </w:r>
    </w:p>
    <w:p>
      <w:pPr>
        <w:pStyle w:val="ListBullet"/>
      </w:pPr>
      <w:r>
        <w:t>Validate incoming API data.</w:t>
      </w:r>
    </w:p>
    <w:p>
      <w:pPr>
        <w:pStyle w:val="ListBullet"/>
      </w:pPr>
      <w:r>
        <w:t>Separate valid and invalid records.</w:t>
      </w:r>
    </w:p>
    <w:p>
      <w:pPr>
        <w:pStyle w:val="ListBullet"/>
      </w:pPr>
      <w:r>
        <w:t>Detect duplicate and invalid records.</w:t>
      </w:r>
    </w:p>
    <w:p>
      <w:pPr>
        <w:pStyle w:val="ListBullet"/>
      </w:pPr>
      <w:r>
        <w:t>Track data quality and reliability metrics.</w:t>
      </w:r>
    </w:p>
    <w:p>
      <w:pPr>
        <w:pStyle w:val="ListBullet"/>
      </w:pPr>
      <w:r>
        <w:t>Reconcile source and processed records.</w:t>
      </w:r>
    </w:p>
    <w:p>
      <w:pPr>
        <w:pStyle w:val="ListBullet"/>
      </w:pPr>
      <w:r>
        <w:t>Maintain historical run information.</w:t>
      </w:r>
    </w:p>
    <w:p>
      <w:pPr>
        <w:pStyle w:val="ListBullet"/>
      </w:pPr>
      <w:r>
        <w:t>Detect abnormal changes in source data volume.</w:t>
      </w:r>
    </w:p>
    <w:p>
      <w:pPr>
        <w:pStyle w:val="ListBullet"/>
      </w:pPr>
      <w:r>
        <w:t>Provide a foundation for future data reliability capabilities.</w:t>
      </w:r>
    </w:p>
    <w:p>
      <w:pPr>
        <w:pStyle w:val="Heading1"/>
      </w:pPr>
      <w:r>
        <w:t>4. Framework Architecture</w:t>
      </w:r>
    </w:p>
    <w:p>
      <w:r>
        <w:t>API Source → API Ingestion → Data Standardization → Data Quality Checks → Valid / Quarantine → Reliability Metrics → Source-to-Target Reconciliation → Historical Volume Analysis → Volume Anomaly Detection → Audit / Run History</w:t>
      </w:r>
    </w:p>
    <w:p>
      <w:pPr>
        <w:pStyle w:val="Heading1"/>
      </w:pPr>
      <w:r>
        <w:t>5. Processing Flow</w:t>
      </w:r>
    </w:p>
    <w:p>
      <w:pPr>
        <w:pStyle w:val="Heading2"/>
      </w:pPr>
      <w:r>
        <w:t>Step 1 — API Ingestion</w:t>
      </w:r>
    </w:p>
    <w:p>
      <w:r>
        <w:t>Transaction data is retrieved from the source API. API credentials are retrieved securely from Databricks Secret Scope rather than being hardcoded in the notebook.</w:t>
      </w:r>
    </w:p>
    <w:p>
      <w:pPr>
        <w:pStyle w:val="Heading2"/>
      </w:pPr>
      <w:r>
        <w:t>Step 2 — Data Standardization</w:t>
      </w:r>
    </w:p>
    <w:p>
      <w:r>
        <w:t>Incoming data is standardized into a consistent structure before validation, including column names, date formats, and data types.</w:t>
      </w:r>
    </w:p>
    <w:p>
      <w:pPr>
        <w:pStyle w:val="Heading2"/>
      </w:pPr>
      <w:r>
        <w:t>Step 3 — Data Quality Validation</w:t>
      </w:r>
    </w:p>
    <w:p>
      <w:r>
        <w:t>Incoming records are validated against defined data quality rules.</w:t>
      </w:r>
    </w:p>
    <w:p>
      <w:pPr>
        <w:pStyle w:val="Heading2"/>
      </w:pPr>
      <w:r>
        <w:t>Step 4 — Valid and Quarantine Data</w:t>
      </w:r>
    </w:p>
    <w:p>
      <w:r>
        <w:t>Valid records continue through the processing flow while invalid records are stored separately for investigation.</w:t>
      </w:r>
    </w:p>
    <w:p>
      <w:pPr>
        <w:pStyle w:val="Heading1"/>
      </w:pPr>
      <w:r>
        <w:t>6. Data Quality Checks</w:t>
      </w:r>
    </w:p>
    <w:tbl>
      <w:tblPr>
        <w:tblStyle w:val="TableGrid"/>
        <w:tblW w:type="auto" w:w="0"/>
        <w:jc w:val="center"/>
        <w:tblLook w:firstColumn="1" w:firstRow="1" w:lastColumn="0" w:lastRow="0" w:noHBand="0" w:noVBand="1" w:val="04A0"/>
      </w:tblPr>
      <w:tblGrid>
        <w:gridCol w:w="4320"/>
        <w:gridCol w:w="4320"/>
      </w:tblGrid>
      <w:tr>
        <w:tc>
          <w:tcPr>
            <w:tcW w:type="dxa" w:w="4320"/>
          </w:tcPr>
          <w:p>
            <w:r>
              <w:t>Check</w:t>
            </w:r>
          </w:p>
        </w:tc>
        <w:tc>
          <w:tcPr>
            <w:tcW w:type="dxa" w:w="4320"/>
          </w:tcPr>
          <w:p>
            <w:r>
              <w:t>Description</w:t>
            </w:r>
          </w:p>
        </w:tc>
      </w:tr>
      <w:tr>
        <w:tc>
          <w:tcPr>
            <w:tcW w:type="dxa" w:w="4320"/>
          </w:tcPr>
          <w:p>
            <w:r>
              <w:t>Duplicate Transaction ID</w:t>
            </w:r>
          </w:p>
        </w:tc>
        <w:tc>
          <w:tcPr>
            <w:tcW w:type="dxa" w:w="4320"/>
          </w:tcPr>
          <w:p>
            <w:r>
              <w:t>Identifies duplicate transactions</w:t>
            </w:r>
          </w:p>
        </w:tc>
      </w:tr>
      <w:tr>
        <w:tc>
          <w:tcPr>
            <w:tcW w:type="dxa" w:w="4320"/>
          </w:tcPr>
          <w:p>
            <w:r>
              <w:t>Transaction Amount</w:t>
            </w:r>
          </w:p>
        </w:tc>
        <w:tc>
          <w:tcPr>
            <w:tcW w:type="dxa" w:w="4320"/>
          </w:tcPr>
          <w:p>
            <w:r>
              <w:t>Detects negative or zero amounts</w:t>
            </w:r>
          </w:p>
        </w:tc>
      </w:tr>
      <w:tr>
        <w:tc>
          <w:tcPr>
            <w:tcW w:type="dxa" w:w="4320"/>
          </w:tcPr>
          <w:p>
            <w:r>
              <w:t>Transaction ID</w:t>
            </w:r>
          </w:p>
        </w:tc>
        <w:tc>
          <w:tcPr>
            <w:tcW w:type="dxa" w:w="4320"/>
          </w:tcPr>
          <w:p>
            <w:r>
              <w:t>Identifies null transaction IDs</w:t>
            </w:r>
          </w:p>
        </w:tc>
      </w:tr>
      <w:tr>
        <w:tc>
          <w:tcPr>
            <w:tcW w:type="dxa" w:w="4320"/>
          </w:tcPr>
          <w:p>
            <w:r>
              <w:t>Account ID</w:t>
            </w:r>
          </w:p>
        </w:tc>
        <w:tc>
          <w:tcPr>
            <w:tcW w:type="dxa" w:w="4320"/>
          </w:tcPr>
          <w:p>
            <w:r>
              <w:t>Identifies null account IDs</w:t>
            </w:r>
          </w:p>
        </w:tc>
      </w:tr>
      <w:tr>
        <w:tc>
          <w:tcPr>
            <w:tcW w:type="dxa" w:w="4320"/>
          </w:tcPr>
          <w:p>
            <w:r>
              <w:t>Transaction Date</w:t>
            </w:r>
          </w:p>
        </w:tc>
        <w:tc>
          <w:tcPr>
            <w:tcW w:type="dxa" w:w="4320"/>
          </w:tcPr>
          <w:p>
            <w:r>
              <w:t>Identifies invalid dates</w:t>
            </w:r>
          </w:p>
        </w:tc>
      </w:tr>
      <w:tr>
        <w:tc>
          <w:tcPr>
            <w:tcW w:type="dxa" w:w="4320"/>
          </w:tcPr>
          <w:p>
            <w:r>
              <w:t>Date Format</w:t>
            </w:r>
          </w:p>
        </w:tc>
        <w:tc>
          <w:tcPr>
            <w:tcW w:type="dxa" w:w="4320"/>
          </w:tcPr>
          <w:p>
            <w:r>
              <w:t>Standardizes transaction dates</w:t>
            </w:r>
          </w:p>
        </w:tc>
      </w:tr>
    </w:tbl>
    <w:p>
      <w:pPr>
        <w:pStyle w:val="Heading1"/>
      </w:pPr>
      <w:r>
        <w:t>7. Reliability Metrics</w:t>
      </w:r>
    </w:p>
    <w:p>
      <w:pPr>
        <w:pStyle w:val="ListBullet"/>
      </w:pPr>
      <w:r>
        <w:t>Total records</w:t>
      </w:r>
    </w:p>
    <w:p>
      <w:pPr>
        <w:pStyle w:val="ListBullet"/>
      </w:pPr>
      <w:r>
        <w:t>Valid records</w:t>
      </w:r>
    </w:p>
    <w:p>
      <w:pPr>
        <w:pStyle w:val="ListBullet"/>
      </w:pPr>
      <w:r>
        <w:t>Invalid records</w:t>
      </w:r>
    </w:p>
    <w:p>
      <w:pPr>
        <w:pStyle w:val="ListBullet"/>
      </w:pPr>
      <w:r>
        <w:t>Duplicate records</w:t>
      </w:r>
    </w:p>
    <w:p>
      <w:pPr>
        <w:pStyle w:val="ListBullet"/>
      </w:pPr>
      <w:r>
        <w:t>Null/invalid records</w:t>
      </w:r>
    </w:p>
    <w:p>
      <w:pPr>
        <w:pStyle w:val="ListBullet"/>
      </w:pPr>
      <w:r>
        <w:t>Reliability percentage</w:t>
      </w:r>
    </w:p>
    <w:p>
      <w:pPr>
        <w:pStyle w:val="Heading1"/>
      </w:pPr>
      <w:r>
        <w:t>8. Source-to-Target Reconciliation</w:t>
      </w:r>
    </w:p>
    <w:p>
      <w:r>
        <w:t>The framework compares the number of records received from the source with the number of records successfully processed.</w:t>
      </w:r>
    </w:p>
    <w:p>
      <w:r>
        <w:t>Example: Source records = 10,000; Processed records = 10,000; Difference = 0; Reconciliation = PASS.</w:t>
      </w:r>
    </w:p>
    <w:p>
      <w:r>
        <w:t>If the source contains 10,000 records but only 9,850 are processed, the framework identifies a difference of 150 and reports reconciliation failure.</w:t>
      </w:r>
    </w:p>
    <w:p>
      <w:pPr>
        <w:pStyle w:val="Heading1"/>
      </w:pPr>
      <w:r>
        <w:t>9. Run-Level Reconciliation History</w:t>
      </w:r>
    </w:p>
    <w:p>
      <w:r>
        <w:t>Each execution is recorded so that previous runs can be analyzed. Historical information allows the framework to understand how the pipeline behaved over time and provides the baseline for volume anomaly detection.</w:t>
      </w:r>
    </w:p>
    <w:p>
      <w:pPr>
        <w:pStyle w:val="Heading1"/>
      </w:pPr>
      <w:r>
        <w:t>10. Volume Anomaly Detection</w:t>
      </w:r>
    </w:p>
    <w:p>
      <w:pPr>
        <w:pStyle w:val="Heading2"/>
      </w:pPr>
      <w:r>
        <w:t>10.1 Problem</w:t>
      </w:r>
    </w:p>
    <w:p>
      <w:r>
        <w:t>Traditional reconciliation answers: 'Did we process everything that we received?' It does not answer: 'Did we receive the expected amount of data?'</w:t>
      </w:r>
    </w:p>
    <w:p>
      <w:pPr>
        <w:pStyle w:val="Heading2"/>
      </w:pPr>
      <w:r>
        <w:t>10.2 Approach</w:t>
      </w:r>
    </w:p>
    <w:p>
      <w:r>
        <w:t>The current source record count is compared against the historical average from previous runs. A configurable deviation threshold is used to identify abnormal source volume.</w:t>
      </w:r>
    </w:p>
    <w:p>
      <w:r>
        <w:t>Example: historical runs are around 10,000 records while the current run contains 2,100 records. The framework identifies the significant deviation and reports Volume Status = ANOMALY.</w:t>
      </w:r>
    </w:p>
    <w:p>
      <w:pPr>
        <w:pStyle w:val="Heading1"/>
      </w:pPr>
      <w:r>
        <w:t>11. Key Reliability Scenario</w:t>
      </w:r>
    </w:p>
    <w:p>
      <w:r>
        <w:t>Suppose the current source contains 2,100 records and all 2,100 are processed. Reconciliation passes because there is no record loss between source and target.</w:t>
      </w:r>
    </w:p>
    <w:p>
      <w:r>
        <w:t>However, if the historical baseline is approximately 10,000 records, the volume check reports an anomaly. This demonstrates why data reliability requires more than pipeline success or source-to-target reconciliation.</w:t>
      </w:r>
    </w:p>
    <w:p>
      <w:pPr>
        <w:pStyle w:val="Heading1"/>
      </w:pPr>
      <w:r>
        <w:t>12. Current POC Outputs</w:t>
      </w:r>
    </w:p>
    <w:p>
      <w:pPr>
        <w:pStyle w:val="ListBullet"/>
      </w:pPr>
      <w:r>
        <w:t>Valid transaction records</w:t>
      </w:r>
    </w:p>
    <w:p>
      <w:pPr>
        <w:pStyle w:val="ListBullet"/>
      </w:pPr>
      <w:r>
        <w:t>Quarantined transaction records</w:t>
      </w:r>
    </w:p>
    <w:p>
      <w:pPr>
        <w:pStyle w:val="ListBullet"/>
      </w:pPr>
      <w:r>
        <w:t>Data reliability metrics</w:t>
      </w:r>
    </w:p>
    <w:p>
      <w:pPr>
        <w:pStyle w:val="ListBullet"/>
      </w:pPr>
      <w:r>
        <w:t>Reconciliation results</w:t>
      </w:r>
    </w:p>
    <w:p>
      <w:pPr>
        <w:pStyle w:val="ListBullet"/>
      </w:pPr>
      <w:r>
        <w:t>Volume anomaly results</w:t>
      </w:r>
    </w:p>
    <w:p>
      <w:pPr>
        <w:pStyle w:val="ListBullet"/>
      </w:pPr>
      <w:r>
        <w:t>Run-level reconciliation history</w:t>
      </w:r>
    </w:p>
    <w:p>
      <w:pPr>
        <w:pStyle w:val="ListBullet"/>
      </w:pPr>
      <w:r>
        <w:t>Volume anomaly history</w:t>
      </w:r>
    </w:p>
    <w:p>
      <w:pPr>
        <w:pStyle w:val="Heading1"/>
      </w:pPr>
      <w:r>
        <w:t>13. Security</w:t>
      </w:r>
    </w:p>
    <w:p>
      <w:r>
        <w:t>API credentials are retrieved securely using Databricks Secret Scope. No API keys or credentials are stored directly in the source code.</w:t>
      </w:r>
    </w:p>
    <w:p>
      <w:pPr>
        <w:pStyle w:val="Heading1"/>
      </w:pPr>
      <w:r>
        <w:t>14.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Processing</w:t>
            </w:r>
          </w:p>
        </w:tc>
        <w:tc>
          <w:tcPr>
            <w:tcW w:type="dxa" w:w="4320"/>
          </w:tcPr>
          <w:p>
            <w:r>
              <w:t>Databricks</w:t>
            </w:r>
          </w:p>
        </w:tc>
      </w:tr>
      <w:tr>
        <w:tc>
          <w:tcPr>
            <w:tcW w:type="dxa" w:w="4320"/>
          </w:tcPr>
          <w:p>
            <w:r>
              <w:t>Programming</w:t>
            </w:r>
          </w:p>
        </w:tc>
        <w:tc>
          <w:tcPr>
            <w:tcW w:type="dxa" w:w="4320"/>
          </w:tcPr>
          <w:p>
            <w:r>
              <w:t>Python / PySpark</w:t>
            </w:r>
          </w:p>
        </w:tc>
      </w:tr>
      <w:tr>
        <w:tc>
          <w:tcPr>
            <w:tcW w:type="dxa" w:w="4320"/>
          </w:tcPr>
          <w:p>
            <w:r>
              <w:t>Storage</w:t>
            </w:r>
          </w:p>
        </w:tc>
        <w:tc>
          <w:tcPr>
            <w:tcW w:type="dxa" w:w="4320"/>
          </w:tcPr>
          <w:p>
            <w:r>
              <w:t>Delta Lake</w:t>
            </w:r>
          </w:p>
        </w:tc>
      </w:tr>
      <w:tr>
        <w:tc>
          <w:tcPr>
            <w:tcW w:type="dxa" w:w="4320"/>
          </w:tcPr>
          <w:p>
            <w:r>
              <w:t>Source</w:t>
            </w:r>
          </w:p>
        </w:tc>
        <w:tc>
          <w:tcPr>
            <w:tcW w:type="dxa" w:w="4320"/>
          </w:tcPr>
          <w:p>
            <w:r>
              <w:t>REST API</w:t>
            </w:r>
          </w:p>
        </w:tc>
      </w:tr>
      <w:tr>
        <w:tc>
          <w:tcPr>
            <w:tcW w:type="dxa" w:w="4320"/>
          </w:tcPr>
          <w:p>
            <w:r>
              <w:t>Secret Management</w:t>
            </w:r>
          </w:p>
        </w:tc>
        <w:tc>
          <w:tcPr>
            <w:tcW w:type="dxa" w:w="4320"/>
          </w:tcPr>
          <w:p>
            <w:r>
              <w:t>Databricks Secret Scope</w:t>
            </w:r>
          </w:p>
        </w:tc>
      </w:tr>
      <w:tr>
        <w:tc>
          <w:tcPr>
            <w:tcW w:type="dxa" w:w="4320"/>
          </w:tcPr>
          <w:p>
            <w:r>
              <w:t>Data Validation</w:t>
            </w:r>
          </w:p>
        </w:tc>
        <w:tc>
          <w:tcPr>
            <w:tcW w:type="dxa" w:w="4320"/>
          </w:tcPr>
          <w:p>
            <w:r>
              <w:t>PySpark</w:t>
            </w:r>
          </w:p>
        </w:tc>
      </w:tr>
      <w:tr>
        <w:tc>
          <w:tcPr>
            <w:tcW w:type="dxa" w:w="4320"/>
          </w:tcPr>
          <w:p>
            <w:r>
              <w:t>Reconciliation</w:t>
            </w:r>
          </w:p>
        </w:tc>
        <w:tc>
          <w:tcPr>
            <w:tcW w:type="dxa" w:w="4320"/>
          </w:tcPr>
          <w:p>
            <w:r>
              <w:t>PySpark / Delta</w:t>
            </w:r>
          </w:p>
        </w:tc>
      </w:tr>
      <w:tr>
        <w:tc>
          <w:tcPr>
            <w:tcW w:type="dxa" w:w="4320"/>
          </w:tcPr>
          <w:p>
            <w:r>
              <w:t>Historical Analysis</w:t>
            </w:r>
          </w:p>
        </w:tc>
        <w:tc>
          <w:tcPr>
            <w:tcW w:type="dxa" w:w="4320"/>
          </w:tcPr>
          <w:p>
            <w:r>
              <w:t>Delta tables</w:t>
            </w:r>
          </w:p>
        </w:tc>
      </w:tr>
    </w:tbl>
    <w:p>
      <w:pPr>
        <w:pStyle w:val="Heading1"/>
      </w:pPr>
      <w:r>
        <w:t>15. Demo Flow</w:t>
      </w:r>
    </w:p>
    <w:p>
      <w:pPr>
        <w:pStyle w:val="ListNumber"/>
      </w:pPr>
      <w:r>
        <w:t>Show incoming transaction data received from the API.</w:t>
      </w:r>
    </w:p>
    <w:p>
      <w:pPr>
        <w:pStyle w:val="ListNumber"/>
      </w:pPr>
      <w:r>
        <w:t>Run validation and show total, valid, invalid, and duplicate records.</w:t>
      </w:r>
    </w:p>
    <w:p>
      <w:pPr>
        <w:pStyle w:val="ListNumber"/>
      </w:pPr>
      <w:r>
        <w:t>Show invalid records stored separately in quarantine.</w:t>
      </w:r>
    </w:p>
    <w:p>
      <w:pPr>
        <w:pStyle w:val="ListNumber"/>
      </w:pPr>
      <w:r>
        <w:t>Show source-to-target reconciliation.</w:t>
      </w:r>
    </w:p>
    <w:p>
      <w:pPr>
        <w:pStyle w:val="ListNumber"/>
      </w:pPr>
      <w:r>
        <w:t>Show historical source volumes and demonstrate a volume anomaly.</w:t>
      </w:r>
    </w:p>
    <w:p>
      <w:pPr>
        <w:pStyle w:val="ListNumber"/>
      </w:pPr>
      <w:r>
        <w:t>Explain that reconciliation can PASS while reliability is AT RISK when source volume is abnormal.</w:t>
      </w:r>
    </w:p>
    <w:p>
      <w:pPr>
        <w:pStyle w:val="Heading1"/>
      </w:pPr>
      <w:r>
        <w:t>16. Current Limitations</w:t>
      </w:r>
    </w:p>
    <w:p>
      <w:pPr>
        <w:pStyle w:val="ListBullet"/>
      </w:pPr>
      <w:r>
        <w:t>Volume baseline currently uses a simple historical average.</w:t>
      </w:r>
    </w:p>
    <w:p>
      <w:pPr>
        <w:pStyle w:val="ListBullet"/>
      </w:pPr>
      <w:r>
        <w:t>Thresholds are configurable/static in the POC.</w:t>
      </w:r>
    </w:p>
    <w:p>
      <w:pPr>
        <w:pStyle w:val="ListBullet"/>
      </w:pPr>
      <w:r>
        <w:t>The POC focuses on transaction data received from an API.</w:t>
      </w:r>
    </w:p>
    <w:p>
      <w:pPr>
        <w:pStyle w:val="ListBullet"/>
      </w:pPr>
      <w:r>
        <w:t>Alerting is not yet implemented.</w:t>
      </w:r>
    </w:p>
    <w:p>
      <w:pPr>
        <w:pStyle w:val="ListBullet"/>
      </w:pPr>
      <w:r>
        <w:t>There is no centralized monitoring dashboard.</w:t>
      </w:r>
    </w:p>
    <w:p>
      <w:pPr>
        <w:pStyle w:val="ListBullet"/>
      </w:pPr>
      <w:r>
        <w:t>Root-cause analysis is not yet automated.</w:t>
      </w:r>
    </w:p>
    <w:p>
      <w:pPr>
        <w:pStyle w:val="Heading1"/>
      </w:pPr>
      <w:r>
        <w:t>17. Future Roadmap</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Capability</w:t>
            </w:r>
          </w:p>
        </w:tc>
      </w:tr>
      <w:tr>
        <w:tc>
          <w:tcPr>
            <w:tcW w:type="dxa" w:w="4320"/>
          </w:tcPr>
          <w:p>
            <w:r>
              <w:t>Phase 1 — Current POC</w:t>
            </w:r>
          </w:p>
        </w:tc>
        <w:tc>
          <w:tcPr>
            <w:tcW w:type="dxa" w:w="4320"/>
          </w:tcPr>
          <w:p>
            <w:r>
              <w:t>Data quality + reconciliation + volume anomaly detection.</w:t>
            </w:r>
          </w:p>
        </w:tc>
      </w:tr>
      <w:tr>
        <w:tc>
          <w:tcPr>
            <w:tcW w:type="dxa" w:w="4320"/>
          </w:tcPr>
          <w:p>
            <w:r>
              <w:t>Phase 2 — Freshness Monitoring</w:t>
            </w:r>
          </w:p>
        </w:tc>
        <w:tc>
          <w:tcPr>
            <w:tcW w:type="dxa" w:w="4320"/>
          </w:tcPr>
          <w:p>
            <w:r>
              <w:t>Detect whether data arrived within the expected time window.</w:t>
            </w:r>
          </w:p>
        </w:tc>
      </w:tr>
      <w:tr>
        <w:tc>
          <w:tcPr>
            <w:tcW w:type="dxa" w:w="4320"/>
          </w:tcPr>
          <w:p>
            <w:r>
              <w:t>Phase 3 — Automated Alerting</w:t>
            </w:r>
          </w:p>
        </w:tc>
        <w:tc>
          <w:tcPr>
            <w:tcW w:type="dxa" w:w="4320"/>
          </w:tcPr>
          <w:p>
            <w:r>
              <w:t>Notify the appropriate team when reliability thresholds are breached.</w:t>
            </w:r>
          </w:p>
        </w:tc>
      </w:tr>
      <w:tr>
        <w:tc>
          <w:tcPr>
            <w:tcW w:type="dxa" w:w="4320"/>
          </w:tcPr>
          <w:p>
            <w:r>
              <w:t>Phase 4 — Reliability Dashboard</w:t>
            </w:r>
          </w:p>
        </w:tc>
        <w:tc>
          <w:tcPr>
            <w:tcW w:type="dxa" w:w="4320"/>
          </w:tcPr>
          <w:p>
            <w:r>
              <w:t>Centralize reliability score, data quality, reconciliation, volume trends, freshness, and historical anomalies.</w:t>
            </w:r>
          </w:p>
        </w:tc>
      </w:tr>
      <w:tr>
        <w:tc>
          <w:tcPr>
            <w:tcW w:type="dxa" w:w="4320"/>
          </w:tcPr>
          <w:p>
            <w:r>
              <w:t>Phase 5 — Data Drift Detection</w:t>
            </w:r>
          </w:p>
        </w:tc>
        <w:tc>
          <w:tcPr>
            <w:tcW w:type="dxa" w:w="4320"/>
          </w:tcPr>
          <w:p>
            <w:r>
              <w:t>Detect unexpected changes in schema, data types, null percentage, value distribution, and record volume.</w:t>
            </w:r>
          </w:p>
        </w:tc>
      </w:tr>
      <w:tr>
        <w:tc>
          <w:tcPr>
            <w:tcW w:type="dxa" w:w="4320"/>
          </w:tcPr>
          <w:p>
            <w:r>
              <w:t>Phase 6 — Automated Incident Investigation</w:t>
            </w:r>
          </w:p>
        </w:tc>
        <w:tc>
          <w:tcPr>
            <w:tcW w:type="dxa" w:w="4320"/>
          </w:tcPr>
          <w:p>
            <w:r>
              <w:t>Correlate volume anomalies, data quality, pipeline execution, historical behavior, and source/API status to identify likely root causes.</w:t>
            </w:r>
          </w:p>
        </w:tc>
      </w:tr>
      <w:tr>
        <w:tc>
          <w:tcPr>
            <w:tcW w:type="dxa" w:w="4320"/>
          </w:tcPr>
          <w:p>
            <w:r>
              <w:t>Phase 7 — Remediation</w:t>
            </w:r>
          </w:p>
        </w:tc>
        <w:tc>
          <w:tcPr>
            <w:tcW w:type="dxa" w:w="4320"/>
          </w:tcPr>
          <w:p>
            <w:r>
              <w:t>Move from detect and alert toward investigate, recommend, remediate, and verify.</w:t>
            </w:r>
          </w:p>
        </w:tc>
      </w:tr>
    </w:tbl>
    <w:p>
      <w:pPr>
        <w:pStyle w:val="Heading1"/>
      </w:pPr>
      <w:r>
        <w:t>18. Long-Term Vision</w:t>
      </w:r>
    </w:p>
    <w:p>
      <w:r>
        <w:t>The long-term vision is to build a Data Reliability Platform rather than a collection of individual data-quality checks. The platform can evolve from detecting quality and volume issues to proactive incident investigation, root-cause analysis, remediation recommendations, and eventually automated remediation.</w:t>
      </w:r>
    </w:p>
    <w:p>
      <w:pPr>
        <w:pStyle w:val="Heading1"/>
      </w:pPr>
      <w:r>
        <w:t>19. Business Value</w:t>
      </w:r>
    </w:p>
    <w:p>
      <w:pPr>
        <w:pStyle w:val="ListBullet"/>
      </w:pPr>
      <w:r>
        <w:t>Detect data problems earlier.</w:t>
      </w:r>
    </w:p>
    <w:p>
      <w:pPr>
        <w:pStyle w:val="ListBullet"/>
      </w:pPr>
      <w:r>
        <w:t>Reduce manual data investigation.</w:t>
      </w:r>
    </w:p>
    <w:p>
      <w:pPr>
        <w:pStyle w:val="ListBullet"/>
      </w:pPr>
      <w:r>
        <w:t>Identify anomalies that traditional reconciliation may miss.</w:t>
      </w:r>
    </w:p>
    <w:p>
      <w:pPr>
        <w:pStyle w:val="ListBullet"/>
      </w:pPr>
      <w:r>
        <w:t>Improve confidence in analytical data.</w:t>
      </w:r>
    </w:p>
    <w:p>
      <w:pPr>
        <w:pStyle w:val="ListBullet"/>
      </w:pPr>
      <w:r>
        <w:t>Maintain historical reliability information.</w:t>
      </w:r>
    </w:p>
    <w:p>
      <w:pPr>
        <w:pStyle w:val="ListBullet"/>
      </w:pPr>
      <w:r>
        <w:t>Reduce the time required to identify data incidents.</w:t>
      </w:r>
    </w:p>
    <w:p>
      <w:pPr>
        <w:pStyle w:val="ListBullet"/>
      </w:pPr>
      <w:r>
        <w:t>Provide a foundation for proactive data observability.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