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C25463" w:rsidP="00AE567F">
      <w:pPr>
        <w:pStyle w:val="Title"/>
      </w:pPr>
      <w:r>
        <w:t>Title Storage Sample</w:t>
      </w:r>
    </w:p>
    <w:p w:rsidR="00281D12" w:rsidRPr="00281D12" w:rsidRDefault="00281D12" w:rsidP="00281D12">
      <w:pPr>
        <w:rPr>
          <w:i/>
        </w:rPr>
      </w:pPr>
      <w:r w:rsidRPr="00281D12">
        <w:rPr>
          <w:i/>
        </w:rPr>
        <w:t xml:space="preserve">* This sample is compatible with the </w:t>
      </w:r>
      <w:r w:rsidR="005B124D">
        <w:rPr>
          <w:i/>
        </w:rPr>
        <w:t>November 2015</w:t>
      </w:r>
      <w:r w:rsidR="00A0279B">
        <w:rPr>
          <w:i/>
        </w:rPr>
        <w:t xml:space="preserve"> </w:t>
      </w:r>
      <w:r w:rsidR="005B124D">
        <w:rPr>
          <w:i/>
        </w:rPr>
        <w:t>Xbox One XDK.</w:t>
      </w:r>
    </w:p>
    <w:p w:rsidR="00281D12" w:rsidRDefault="00281D12" w:rsidP="00AE567F">
      <w:pPr>
        <w:pStyle w:val="Heading1"/>
        <w:spacing w:before="0"/>
      </w:pPr>
    </w:p>
    <w:p w:rsidR="00764B3A" w:rsidRDefault="00281D12" w:rsidP="00AE567F">
      <w:pPr>
        <w:pStyle w:val="Heading1"/>
        <w:spacing w:before="0"/>
      </w:pPr>
      <w:r>
        <w:t>Description</w:t>
      </w:r>
    </w:p>
    <w:p w:rsidR="00C25463" w:rsidRPr="00C42F0D" w:rsidRDefault="00C25463" w:rsidP="00C25463">
      <w:r w:rsidRPr="00C42F0D">
        <w:t>This client-side sample</w:t>
      </w:r>
      <w:r>
        <w:t xml:space="preserve"> </w:t>
      </w:r>
      <w:r w:rsidRPr="00C42F0D">
        <w:t xml:space="preserve">demonstrates </w:t>
      </w:r>
      <w:r>
        <w:t>the functionality of the Xbox Live Services Title Storage API. Using this sample, it is possible to query the Title Storage service for quota information and directory listings, as well as download, upload and delete files.</w:t>
      </w:r>
    </w:p>
    <w:p w:rsidR="005B124D" w:rsidRDefault="005B124D" w:rsidP="005B124D"/>
    <w:p w:rsidR="005B124D" w:rsidRPr="00C42F0D" w:rsidRDefault="005B124D" w:rsidP="005B124D"/>
    <w:p w:rsidR="00281D12" w:rsidRDefault="00281D12" w:rsidP="00281D12"/>
    <w:p w:rsidR="00281D12" w:rsidRDefault="00281D12" w:rsidP="00281D12"/>
    <w:p w:rsidR="00AE567F" w:rsidRPr="00AE567F" w:rsidRDefault="00AE567F" w:rsidP="00AE567F"/>
    <w:p w:rsidR="00AE567F" w:rsidRDefault="00AE567F" w:rsidP="00764B3A">
      <w:pPr>
        <w:rPr>
          <w:rFonts w:ascii="Arial" w:hAnsi="Arial" w:cs="Arial"/>
          <w:lang w:val="en"/>
        </w:rPr>
      </w:pPr>
    </w:p>
    <w:p w:rsidR="00AE567F" w:rsidRDefault="00AE567F" w:rsidP="00764B3A"/>
    <w:p w:rsidR="00764B3A" w:rsidRDefault="00764B3A" w:rsidP="00764B3A"/>
    <w:p w:rsidR="00764B3A" w:rsidRDefault="00764B3A" w:rsidP="00764B3A"/>
    <w:p w:rsidR="00281D12" w:rsidRDefault="00281D12">
      <w:pPr>
        <w:spacing w:after="160" w:line="259" w:lineRule="auto"/>
        <w:rPr>
          <w:rFonts w:eastAsiaTheme="majorEastAsia" w:cstheme="majorBidi"/>
          <w:color w:val="006600"/>
          <w:sz w:val="28"/>
          <w:szCs w:val="32"/>
        </w:rPr>
      </w:pPr>
      <w:r>
        <w:br w:type="page"/>
      </w:r>
    </w:p>
    <w:p w:rsidR="00281D12" w:rsidRDefault="00281D12" w:rsidP="00281D12">
      <w:pPr>
        <w:pStyle w:val="Heading1"/>
      </w:pPr>
      <w:r>
        <w:lastRenderedPageBreak/>
        <w:t>Building the Sample</w:t>
      </w:r>
    </w:p>
    <w:p w:rsidR="005E3DA1" w:rsidRDefault="00C25463" w:rsidP="00E16AF8">
      <w:r>
        <w:t>No custom requirements</w:t>
      </w:r>
    </w:p>
    <w:p w:rsidR="00E16AF8" w:rsidRDefault="00E16AF8" w:rsidP="00E16AF8"/>
    <w:p w:rsidR="00281D12" w:rsidRDefault="00281D12" w:rsidP="005B124D">
      <w:pPr>
        <w:pStyle w:val="Heading1"/>
      </w:pPr>
      <w:r>
        <w:t>Using the sample</w:t>
      </w:r>
    </w:p>
    <w:p w:rsidR="00C25463" w:rsidRDefault="00C25463" w:rsidP="00C25463">
      <w:r>
        <w:t>T</w:t>
      </w:r>
      <w:r w:rsidRPr="00C42F0D">
        <w:t xml:space="preserve">his sample </w:t>
      </w:r>
      <w:r>
        <w:t xml:space="preserve">does not </w:t>
      </w:r>
      <w:r w:rsidRPr="00C42F0D">
        <w:t>require that a user be signed-in</w:t>
      </w:r>
      <w:r>
        <w:t xml:space="preserve"> </w:t>
      </w:r>
      <w:r>
        <w:t xml:space="preserve">before running </w:t>
      </w:r>
      <w:r>
        <w:t>in order</w:t>
      </w:r>
      <w:r w:rsidRPr="00C42F0D">
        <w:t xml:space="preserve"> to make the service</w:t>
      </w:r>
      <w:r>
        <w:t xml:space="preserve"> calls</w:t>
      </w:r>
      <w:r w:rsidRPr="00C42F0D">
        <w:t xml:space="preserve">. For more information on setting up a user account, refer to the </w:t>
      </w:r>
      <w:r>
        <w:t>Xbox One</w:t>
      </w:r>
      <w:r w:rsidRPr="00C42F0D">
        <w:t xml:space="preserve"> XDK documentation topic </w:t>
      </w:r>
      <w:r w:rsidRPr="00C42F0D">
        <w:rPr>
          <w:b/>
        </w:rPr>
        <w:t>Xbox Live Authentication</w:t>
      </w:r>
      <w:r w:rsidRPr="00C42F0D">
        <w:t>.</w:t>
      </w:r>
    </w:p>
    <w:p w:rsidR="005E3DA1" w:rsidRDefault="005E3DA1" w:rsidP="00281D12"/>
    <w:p w:rsidR="00E16AF8" w:rsidRDefault="002748E9" w:rsidP="002748E9">
      <w:pPr>
        <w:pStyle w:val="Heading2"/>
      </w:pPr>
      <w:r>
        <w:rPr>
          <w:noProof/>
        </w:rPr>
        <w:drawing>
          <wp:anchor distT="0" distB="0" distL="114300" distR="114300" simplePos="0" relativeHeight="251654144" behindDoc="0" locked="0" layoutInCell="1" allowOverlap="1" wp14:anchorId="639DC603" wp14:editId="36C251C8">
            <wp:simplePos x="0" y="0"/>
            <wp:positionH relativeFrom="margin">
              <wp:posOffset>-104775</wp:posOffset>
            </wp:positionH>
            <wp:positionV relativeFrom="paragraph">
              <wp:posOffset>292100</wp:posOffset>
            </wp:positionV>
            <wp:extent cx="2267585" cy="12750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67585" cy="1275080"/>
                    </a:xfrm>
                    <a:prstGeom prst="rect">
                      <a:avLst/>
                    </a:prstGeom>
                    <a:noFill/>
                  </pic:spPr>
                </pic:pic>
              </a:graphicData>
            </a:graphic>
            <wp14:sizeRelH relativeFrom="margin">
              <wp14:pctWidth>0</wp14:pctWidth>
            </wp14:sizeRelH>
            <wp14:sizeRelV relativeFrom="margin">
              <wp14:pctHeight>0</wp14:pctHeight>
            </wp14:sizeRelV>
          </wp:anchor>
        </w:drawing>
      </w:r>
      <w:r w:rsidR="005B124D">
        <w:t>Sign-In Screen</w:t>
      </w:r>
    </w:p>
    <w:tbl>
      <w:tblPr>
        <w:tblStyle w:val="XboxOne"/>
        <w:tblpPr w:leftFromText="180" w:rightFromText="180" w:vertAnchor="text" w:horzAnchor="margin" w:tblpXSpec="right" w:tblpY="167"/>
        <w:tblOverlap w:val="never"/>
        <w:tblW w:w="3033"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4094"/>
        <w:gridCol w:w="1578"/>
      </w:tblGrid>
      <w:tr w:rsidR="005B124D" w:rsidRPr="00C42F0D" w:rsidTr="005B124D">
        <w:trPr>
          <w:cnfStyle w:val="100000000000" w:firstRow="1" w:lastRow="0" w:firstColumn="0" w:lastColumn="0" w:oddVBand="0" w:evenVBand="0" w:oddHBand="0" w:evenHBand="0" w:firstRowFirstColumn="0" w:firstRowLastColumn="0" w:lastRowFirstColumn="0" w:lastRowLastColumn="0"/>
          <w:trHeight w:val="282"/>
        </w:trPr>
        <w:tc>
          <w:tcPr>
            <w:tcW w:w="3609" w:type="pct"/>
            <w:hideMark/>
          </w:tcPr>
          <w:p w:rsidR="005B124D" w:rsidRPr="00C42F0D" w:rsidRDefault="005B124D" w:rsidP="00E16AF8">
            <w:pPr>
              <w:pStyle w:val="Tableheading"/>
              <w:rPr>
                <w:bCs w:val="0"/>
              </w:rPr>
            </w:pPr>
            <w:r w:rsidRPr="00160A8A">
              <w:t>Action</w:t>
            </w:r>
          </w:p>
        </w:tc>
        <w:tc>
          <w:tcPr>
            <w:tcW w:w="1391" w:type="pct"/>
            <w:hideMark/>
          </w:tcPr>
          <w:p w:rsidR="005B124D" w:rsidRPr="00C42F0D" w:rsidRDefault="005B124D" w:rsidP="00E16AF8">
            <w:pPr>
              <w:pStyle w:val="Tableheading"/>
              <w:rPr>
                <w:bCs w:val="0"/>
              </w:rPr>
            </w:pPr>
            <w:r>
              <w:t>Gamepad</w:t>
            </w:r>
          </w:p>
        </w:tc>
      </w:tr>
      <w:tr w:rsidR="005B124D" w:rsidRPr="00C42F0D" w:rsidTr="005B124D">
        <w:trPr>
          <w:trHeight w:val="180"/>
        </w:trPr>
        <w:tc>
          <w:tcPr>
            <w:tcW w:w="3609" w:type="pct"/>
            <w:shd w:val="clear" w:color="auto" w:fill="FFFFFF" w:themeFill="background1"/>
          </w:tcPr>
          <w:p w:rsidR="005B124D" w:rsidRPr="00E16AF8" w:rsidRDefault="005B124D" w:rsidP="00E16AF8">
            <w:pPr>
              <w:pStyle w:val="Tableheading"/>
              <w:spacing w:before="0"/>
              <w:rPr>
                <w:color w:val="auto"/>
              </w:rPr>
            </w:pPr>
            <w:r>
              <w:rPr>
                <w:color w:val="auto"/>
              </w:rPr>
              <w:t>Sign In</w:t>
            </w:r>
          </w:p>
        </w:tc>
        <w:tc>
          <w:tcPr>
            <w:tcW w:w="1391" w:type="pct"/>
            <w:shd w:val="clear" w:color="auto" w:fill="FFFFFF" w:themeFill="background1"/>
          </w:tcPr>
          <w:p w:rsidR="005B124D" w:rsidRPr="00C42F0D" w:rsidRDefault="005B124D" w:rsidP="00E16AF8">
            <w:pPr>
              <w:pStyle w:val="Tablebody"/>
            </w:pPr>
            <w:r>
              <w:t>Menu Button</w:t>
            </w:r>
          </w:p>
        </w:tc>
      </w:tr>
    </w:tbl>
    <w:p w:rsidR="00E16AF8" w:rsidRDefault="00E16AF8" w:rsidP="00281D12"/>
    <w:p w:rsidR="00E16AF8" w:rsidRDefault="00E16AF8" w:rsidP="00281D12"/>
    <w:p w:rsidR="00575766" w:rsidRDefault="00575766" w:rsidP="00281D12"/>
    <w:p w:rsidR="005B124D" w:rsidRDefault="005B124D" w:rsidP="00575766">
      <w:pPr>
        <w:pStyle w:val="Heading2"/>
      </w:pPr>
    </w:p>
    <w:p w:rsidR="00575766" w:rsidRDefault="00575766" w:rsidP="00575766"/>
    <w:p w:rsidR="00E16AF8" w:rsidRDefault="00E16AF8">
      <w:pPr>
        <w:spacing w:after="160" w:line="259" w:lineRule="auto"/>
        <w:rPr>
          <w:rFonts w:eastAsiaTheme="majorEastAsia" w:cstheme="majorBidi"/>
          <w:b/>
          <w:sz w:val="24"/>
          <w:szCs w:val="26"/>
        </w:rPr>
      </w:pPr>
      <w:r>
        <w:br w:type="page"/>
      </w:r>
    </w:p>
    <w:p w:rsidR="00281D12" w:rsidRPr="00CF0BB5" w:rsidRDefault="008B625D" w:rsidP="005E3DA1">
      <w:pPr>
        <w:pStyle w:val="Heading2"/>
      </w:pPr>
      <w:r>
        <w:lastRenderedPageBreak/>
        <w:t>Main Screen</w:t>
      </w:r>
    </w:p>
    <w:p w:rsidR="00C003D2" w:rsidRDefault="005E3DA1" w:rsidP="005E3DA1">
      <w:r>
        <w:rPr>
          <w:noProof/>
        </w:rPr>
        <w:drawing>
          <wp:inline distT="0" distB="0" distL="0" distR="0" wp14:anchorId="1063D1BE">
            <wp:extent cx="5861815" cy="329727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861815" cy="3297270"/>
                    </a:xfrm>
                    <a:prstGeom prst="rect">
                      <a:avLst/>
                    </a:prstGeom>
                    <a:noFill/>
                  </pic:spPr>
                </pic:pic>
              </a:graphicData>
            </a:graphic>
          </wp:inline>
        </w:drawing>
      </w:r>
    </w:p>
    <w:p w:rsidR="00281D12" w:rsidRDefault="00281D12" w:rsidP="00331038"/>
    <w:tbl>
      <w:tblPr>
        <w:tblStyle w:val="XboxOne"/>
        <w:tblpPr w:leftFromText="180" w:rightFromText="180" w:vertAnchor="text" w:horzAnchor="margin" w:tblpY="87"/>
        <w:tblOverlap w:val="never"/>
        <w:tblW w:w="495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2"/>
        <w:gridCol w:w="5274"/>
      </w:tblGrid>
      <w:tr w:rsidR="008B625D" w:rsidRPr="00C42F0D" w:rsidTr="008B625D">
        <w:trPr>
          <w:cnfStyle w:val="100000000000" w:firstRow="1" w:lastRow="0" w:firstColumn="0" w:lastColumn="0" w:oddVBand="0" w:evenVBand="0" w:oddHBand="0" w:evenHBand="0" w:firstRowFirstColumn="0" w:firstRowLastColumn="0" w:lastRowFirstColumn="0" w:lastRowLastColumn="0"/>
          <w:trHeight w:val="364"/>
        </w:trPr>
        <w:tc>
          <w:tcPr>
            <w:tcW w:w="2154" w:type="pct"/>
            <w:hideMark/>
          </w:tcPr>
          <w:p w:rsidR="008B625D" w:rsidRPr="00C42F0D" w:rsidRDefault="008B625D" w:rsidP="005E6344">
            <w:pPr>
              <w:pStyle w:val="Tableheading"/>
              <w:rPr>
                <w:bCs w:val="0"/>
              </w:rPr>
            </w:pPr>
            <w:r w:rsidRPr="00160A8A">
              <w:t>Action</w:t>
            </w:r>
          </w:p>
        </w:tc>
        <w:tc>
          <w:tcPr>
            <w:tcW w:w="2846" w:type="pct"/>
            <w:hideMark/>
          </w:tcPr>
          <w:p w:rsidR="008B625D" w:rsidRPr="00C42F0D" w:rsidRDefault="008B625D" w:rsidP="005E6344">
            <w:pPr>
              <w:pStyle w:val="Tableheading"/>
              <w:rPr>
                <w:bCs w:val="0"/>
              </w:rPr>
            </w:pPr>
            <w:r>
              <w:t>Description</w:t>
            </w:r>
          </w:p>
        </w:tc>
      </w:tr>
      <w:tr w:rsidR="008B625D" w:rsidRPr="00C42F0D" w:rsidTr="008B625D">
        <w:trPr>
          <w:trHeight w:val="469"/>
        </w:trPr>
        <w:tc>
          <w:tcPr>
            <w:tcW w:w="2154" w:type="pct"/>
          </w:tcPr>
          <w:p w:rsidR="008B625D" w:rsidRPr="00C42F0D" w:rsidRDefault="008B625D" w:rsidP="005E6344">
            <w:pPr>
              <w:pStyle w:val="Tablebody"/>
            </w:pPr>
            <w:r>
              <w:t xml:space="preserve">Select </w:t>
            </w:r>
            <w:r w:rsidR="00C25463">
              <w:t>Storage Location</w:t>
            </w:r>
          </w:p>
        </w:tc>
        <w:tc>
          <w:tcPr>
            <w:tcW w:w="2846" w:type="pct"/>
          </w:tcPr>
          <w:p w:rsidR="008B625D" w:rsidRPr="00C42F0D" w:rsidRDefault="00C25463" w:rsidP="005E6344">
            <w:pPr>
              <w:pStyle w:val="Tablebody"/>
            </w:pPr>
            <w:r>
              <w:t>Select the storage location to view and download the data blobs from</w:t>
            </w:r>
          </w:p>
        </w:tc>
      </w:tr>
      <w:tr w:rsidR="008B625D" w:rsidTr="008B625D">
        <w:trPr>
          <w:cnfStyle w:val="000000010000" w:firstRow="0" w:lastRow="0" w:firstColumn="0" w:lastColumn="0" w:oddVBand="0" w:evenVBand="0" w:oddHBand="0" w:evenHBand="1" w:firstRowFirstColumn="0" w:firstRowLastColumn="0" w:lastRowFirstColumn="0" w:lastRowLastColumn="0"/>
          <w:trHeight w:val="234"/>
        </w:trPr>
        <w:tc>
          <w:tcPr>
            <w:tcW w:w="2154" w:type="pct"/>
          </w:tcPr>
          <w:p w:rsidR="008B625D" w:rsidRDefault="00C25463" w:rsidP="005E6344">
            <w:pPr>
              <w:pStyle w:val="Tablebody"/>
            </w:pPr>
            <w:r>
              <w:t>Upload</w:t>
            </w:r>
          </w:p>
        </w:tc>
        <w:tc>
          <w:tcPr>
            <w:tcW w:w="2846" w:type="pct"/>
          </w:tcPr>
          <w:p w:rsidR="008B625D" w:rsidRDefault="00C25463" w:rsidP="005E6344">
            <w:pPr>
              <w:pStyle w:val="Tablebody"/>
            </w:pPr>
            <w:r>
              <w:t>Upload a blob to a specified location. Disabled for global storage.</w:t>
            </w:r>
          </w:p>
        </w:tc>
      </w:tr>
      <w:tr w:rsidR="008B625D" w:rsidTr="008B625D">
        <w:trPr>
          <w:trHeight w:val="362"/>
        </w:trPr>
        <w:tc>
          <w:tcPr>
            <w:tcW w:w="2154" w:type="pct"/>
          </w:tcPr>
          <w:p w:rsidR="008B625D" w:rsidRDefault="00C25463" w:rsidP="005E6344">
            <w:pPr>
              <w:pStyle w:val="Tablebody"/>
            </w:pPr>
            <w:r>
              <w:t>DPad Up/Down</w:t>
            </w:r>
          </w:p>
        </w:tc>
        <w:tc>
          <w:tcPr>
            <w:tcW w:w="2846" w:type="pct"/>
          </w:tcPr>
          <w:p w:rsidR="008B625D" w:rsidRDefault="00C25463" w:rsidP="005E6344">
            <w:pPr>
              <w:pStyle w:val="Tablebody"/>
            </w:pPr>
            <w:r>
              <w:t>Navigate the sample</w:t>
            </w:r>
          </w:p>
        </w:tc>
      </w:tr>
      <w:tr w:rsidR="008B625D" w:rsidTr="008B625D">
        <w:trPr>
          <w:cnfStyle w:val="000000010000" w:firstRow="0" w:lastRow="0" w:firstColumn="0" w:lastColumn="0" w:oddVBand="0" w:evenVBand="0" w:oddHBand="0" w:evenHBand="1" w:firstRowFirstColumn="0" w:firstRowLastColumn="0" w:lastRowFirstColumn="0" w:lastRowLastColumn="0"/>
          <w:trHeight w:val="234"/>
        </w:trPr>
        <w:tc>
          <w:tcPr>
            <w:tcW w:w="2154" w:type="pct"/>
          </w:tcPr>
          <w:p w:rsidR="008B625D" w:rsidRDefault="00C25463" w:rsidP="005E6344">
            <w:pPr>
              <w:pStyle w:val="Tablebody"/>
            </w:pPr>
            <w:r>
              <w:t>Select Blob</w:t>
            </w:r>
          </w:p>
        </w:tc>
        <w:tc>
          <w:tcPr>
            <w:tcW w:w="2846" w:type="pct"/>
          </w:tcPr>
          <w:p w:rsidR="008B625D" w:rsidRDefault="00C25463" w:rsidP="005E6344">
            <w:pPr>
              <w:pStyle w:val="Tablebody"/>
            </w:pPr>
            <w:r>
              <w:t>Brings up menu to Download or Delete a selected blob.  Delete is disabled for global storage</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3D3EF7" w:rsidRDefault="00600C0B" w:rsidP="003D3EF7">
      <w:r>
        <w:t xml:space="preserve">This sample requires that your console be set to the XDKS.1 sandbox.  The sample method ChangeStorageType retrieves the </w:t>
      </w:r>
      <w:r w:rsidR="00381711">
        <w:t>quota information for the given storage type as well as all of the blob metadata in that location.</w:t>
      </w:r>
      <w:bookmarkStart w:id="0" w:name="_GoBack"/>
      <w:bookmarkEnd w:id="0"/>
    </w:p>
    <w:p w:rsidR="005640ED" w:rsidRDefault="005640ED" w:rsidP="003D3EF7">
      <w:pPr>
        <w:pStyle w:val="Heading1"/>
      </w:pPr>
      <w:bookmarkStart w:id="1" w:name="ID2EMD"/>
      <w:bookmarkEnd w:id="1"/>
    </w:p>
    <w:p w:rsidR="003D3EF7" w:rsidRDefault="003D3EF7" w:rsidP="003D3EF7">
      <w:pPr>
        <w:pStyle w:val="Heading1"/>
      </w:pPr>
      <w:r>
        <w:t>Known issues</w:t>
      </w:r>
    </w:p>
    <w:p w:rsidR="005640ED" w:rsidRDefault="005640ED" w:rsidP="003D3EF7">
      <w:pPr>
        <w:pStyle w:val="Heading1"/>
      </w:pPr>
    </w:p>
    <w:p w:rsidR="003D3EF7" w:rsidRDefault="003D3EF7" w:rsidP="003D3EF7">
      <w:pPr>
        <w:pStyle w:val="Heading1"/>
      </w:pPr>
      <w:r>
        <w:t>Update history</w:t>
      </w:r>
    </w:p>
    <w:p w:rsidR="00575766" w:rsidRPr="00331038" w:rsidRDefault="00575766" w:rsidP="00331038"/>
    <w:sectPr w:rsidR="0057576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EBE" w:rsidRDefault="00856EBE" w:rsidP="0074610F">
      <w:r>
        <w:separator/>
      </w:r>
    </w:p>
  </w:endnote>
  <w:endnote w:type="continuationSeparator" w:id="0">
    <w:p w:rsidR="00856EBE" w:rsidRDefault="00856EB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C25463">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281D12">
            <w:rPr>
              <w:rFonts w:cs="Segoe UI"/>
              <w:color w:val="808080" w:themeColor="background1" w:themeShade="80"/>
              <w:szCs w:val="20"/>
            </w:rPr>
            <w:t>[Sample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81711">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C25463">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EBE" w:rsidRDefault="00856EBE" w:rsidP="0074610F">
      <w:r>
        <w:separator/>
      </w:r>
    </w:p>
  </w:footnote>
  <w:footnote w:type="continuationSeparator" w:id="0">
    <w:p w:rsidR="00856EBE" w:rsidRDefault="00856EB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B6D5E"/>
    <w:rsid w:val="00150ED8"/>
    <w:rsid w:val="001C132C"/>
    <w:rsid w:val="00203869"/>
    <w:rsid w:val="0024713D"/>
    <w:rsid w:val="002741D2"/>
    <w:rsid w:val="002748E9"/>
    <w:rsid w:val="00281D12"/>
    <w:rsid w:val="00287A4C"/>
    <w:rsid w:val="00294A1B"/>
    <w:rsid w:val="002E7BBB"/>
    <w:rsid w:val="00303D44"/>
    <w:rsid w:val="00321170"/>
    <w:rsid w:val="00331038"/>
    <w:rsid w:val="00355166"/>
    <w:rsid w:val="00381711"/>
    <w:rsid w:val="003D3EF7"/>
    <w:rsid w:val="00422542"/>
    <w:rsid w:val="00425592"/>
    <w:rsid w:val="004B7DDA"/>
    <w:rsid w:val="004E418E"/>
    <w:rsid w:val="005640ED"/>
    <w:rsid w:val="00575766"/>
    <w:rsid w:val="00575F36"/>
    <w:rsid w:val="00585527"/>
    <w:rsid w:val="005B124D"/>
    <w:rsid w:val="005B4DA9"/>
    <w:rsid w:val="005E3DA1"/>
    <w:rsid w:val="00600C0B"/>
    <w:rsid w:val="00683D94"/>
    <w:rsid w:val="006A532D"/>
    <w:rsid w:val="006B7433"/>
    <w:rsid w:val="00707E22"/>
    <w:rsid w:val="0074610F"/>
    <w:rsid w:val="007624A4"/>
    <w:rsid w:val="00764B3A"/>
    <w:rsid w:val="007806DC"/>
    <w:rsid w:val="007A0848"/>
    <w:rsid w:val="00843058"/>
    <w:rsid w:val="0085093C"/>
    <w:rsid w:val="00856EBE"/>
    <w:rsid w:val="00886E89"/>
    <w:rsid w:val="00887700"/>
    <w:rsid w:val="008B625D"/>
    <w:rsid w:val="00917557"/>
    <w:rsid w:val="00937E3A"/>
    <w:rsid w:val="00985949"/>
    <w:rsid w:val="00987A88"/>
    <w:rsid w:val="00A0279B"/>
    <w:rsid w:val="00AE567F"/>
    <w:rsid w:val="00B15AAA"/>
    <w:rsid w:val="00B62C6B"/>
    <w:rsid w:val="00BC1F23"/>
    <w:rsid w:val="00C25463"/>
    <w:rsid w:val="00CF3729"/>
    <w:rsid w:val="00D30F8F"/>
    <w:rsid w:val="00DC7DFC"/>
    <w:rsid w:val="00DD0606"/>
    <w:rsid w:val="00E16AF8"/>
    <w:rsid w:val="00E6273F"/>
    <w:rsid w:val="00EE2624"/>
    <w:rsid w:val="00F40AC7"/>
    <w:rsid w:val="00F70459"/>
    <w:rsid w:val="00FD5C1F"/>
    <w:rsid w:val="00FE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10EBE"/>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4225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5665799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James Lenell</cp:lastModifiedBy>
  <cp:revision>5</cp:revision>
  <dcterms:created xsi:type="dcterms:W3CDTF">2016-07-14T20:42:00Z</dcterms:created>
  <dcterms:modified xsi:type="dcterms:W3CDTF">2016-07-25T14:46:00Z</dcterms:modified>
</cp:coreProperties>
</file>