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Zava Retail Group Co. — R&amp;D Objectives</w:t>
      </w:r>
    </w:p>
    <w:p>
      <w:pPr>
        <w:pStyle w:val="Heading1"/>
      </w:pPr>
      <w:r>
        <w:t>Core Objectives</w:t>
      </w:r>
    </w:p>
    <w:p>
      <w:r>
        <w:t>- Increase automation across channels</w:t>
        <w:br/>
        <w:t>- Improve CX through AI-driven systems</w:t>
        <w:br/>
        <w:t>- Optimize supply-chain decisions</w:t>
        <w:br/>
        <w:t>- Reduce operational delays and inefficiencies</w:t>
      </w:r>
    </w:p>
    <w:p>
      <w:pPr>
        <w:pStyle w:val="Heading1"/>
      </w:pPr>
      <w:r>
        <w:t>Expected Outcomes</w:t>
      </w:r>
    </w:p>
    <w:p>
      <w:r>
        <w:t>- Faster processing</w:t>
        <w:br/>
        <w:t>- Reduced fraud</w:t>
        <w:br/>
        <w:t>- Higher customer satisfaction</w:t>
        <w:br/>
        <w:t>- Enhanced forecasting accuracy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