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1A9" w14:textId="7A0BF599" w:rsidR="010026F7" w:rsidRDefault="010026F7" w:rsidP="0B570431">
      <w:pPr>
        <w:pStyle w:val="Title"/>
      </w:pPr>
      <w:r>
        <w:t>Vergleich von Kesselanlagen und Ofenanlagen in Gewerbebauten</w:t>
      </w:r>
    </w:p>
    <w:p w14:paraId="4A5F9B7E" w14:textId="092EA2DB" w:rsidR="010026F7" w:rsidRDefault="010026F7" w:rsidP="005E4F25">
      <w:pPr>
        <w:pStyle w:val="Heading1"/>
        <w:spacing w:line="264" w:lineRule="auto"/>
      </w:pPr>
      <w:r>
        <w:t>Einführung</w:t>
      </w:r>
    </w:p>
    <w:p w14:paraId="282E3525" w14:textId="64A3A28E" w:rsidR="010026F7" w:rsidRDefault="010026F7" w:rsidP="005E4F25">
      <w:pPr>
        <w:spacing w:line="264" w:lineRule="auto"/>
      </w:pPr>
      <w:r>
        <w:t>Kessel- und Ofenanlagen sind zwei gängige Arten von Heizsystemen, die in gewerblich genutzten Gebäuden eingesetzt werden. Kesselanlagen verwenden Heißwasser oder Dampf, um die Wärme im Gebäude zu verteilen, während Ofenanlagen die Wärme mit Hilfe von Zwangsluft erzeugen. Beide Systeme haben ihre eigenen Vor- und Nachteile, und die Entscheidung für ein bestimmtes System hängt von verschiedenen Faktoren ab, z. B. von der Größe, dem Alter und der Bauweise des Gebäudes, dem Klima, der Energieeffizienz und dem Budget. In diesem Bericht werden wir die Kessel- und Ofenanlagen in Bezug auf ihren Betrieb, ihre Leistung, ihre Kosten und ihre Auswirkungen auf die Klimaanlage vergleichen. Außerdem werden wir die Überlegungen erörtern, die bei der Planung eines Wechsels von einer bestehenden Kesselanlage zu einer Ofenanlage in einem Gewerbebau berücksichtigt werden müssen.</w:t>
      </w:r>
    </w:p>
    <w:p w14:paraId="118D2257" w14:textId="2453BDC0" w:rsidR="010026F7" w:rsidRDefault="010026F7" w:rsidP="005E4F25">
      <w:pPr>
        <w:pStyle w:val="Heading1"/>
        <w:spacing w:line="264" w:lineRule="auto"/>
      </w:pPr>
      <w:r>
        <w:t>Arten von Kesselanlagen</w:t>
      </w:r>
    </w:p>
    <w:p w14:paraId="70D6AED3" w14:textId="66F09A6F" w:rsidR="010026F7" w:rsidRDefault="010026F7" w:rsidP="005E4F25">
      <w:pPr>
        <w:spacing w:line="264" w:lineRule="auto"/>
      </w:pPr>
      <w:r>
        <w:t>Kesselanlagen werden in zwei Haupttypen unterteilt: Heißwasserkessel und Dampfkessel. Heißwasserheizkessel erhitzen Wasser und leiten es durch Rohre und Heizkörper oder Fußbodenheizungen in jedem Raum. Dampfkessel erzeugen Dampf und verteilen ihn über Rohre und Heizkörper oder Konvektoren in den einzelnen Räumen. Der Dampf kondensiert dann wieder zu Wasser und wird in den Kessel zurückgeleitet. Beide Arten von Heizkesseln können verschiedene Brennstoffe wie Erdgas, Öl, Strom oder Biomasse zum Erhitzen des Wassers oder Dampfes verwenden. Kesselanlagen sind in der Regel effizienter als Ofenanlagen, da sie während des Heizvorgangs weniger Wärme verlieren. Sie haben jedoch auch einige Nachteile, wie z. B. höhere Installations- und Wartungskosten, längere Aufheizzeiten und einen komplexeren Betrieb.</w:t>
      </w:r>
    </w:p>
    <w:p w14:paraId="7738946D" w14:textId="1D46864D" w:rsidR="010026F7" w:rsidRDefault="010026F7" w:rsidP="005E4F25">
      <w:pPr>
        <w:pStyle w:val="Heading1"/>
        <w:spacing w:line="264" w:lineRule="auto"/>
      </w:pPr>
      <w:r>
        <w:t>Arten von Ofenanlagen</w:t>
      </w:r>
    </w:p>
    <w:p w14:paraId="168A56CE" w14:textId="7B733F8F" w:rsidR="010026F7" w:rsidRDefault="010026F7" w:rsidP="005E4F25">
      <w:pPr>
        <w:spacing w:line="264" w:lineRule="auto"/>
      </w:pPr>
      <w:r>
        <w:t xml:space="preserve">Man unterscheidet zwischen zwei Haupttypen von Öfen: einstufige Öfen und zweistufige Öfen. Einstufige Öfen haben nur eine Einstellung für den Brenner, d. h. sie laufen entweder mit voller Leistung oder gar nicht. Zweistufige Öfen haben zwei Einstellungen für den Brenner, d. h. sie können je nach Heizbedarf mit niedriger oder hoher Leistung betrieben werden. Beide Arten von Öfen verwenden ein Gebläse, um die erwärmte Luft durch Kanäle </w:t>
      </w:r>
      <w:r>
        <w:lastRenderedPageBreak/>
        <w:t>und Lüftungsöffnungen in jedem Raum zu leiten. Ofenanlagen können auch verschiedene Brennstoffe wie Erdgas, Öl, Strom oder Propan zur Erwärmung der Luft verwenden. Ofenanlagen sind in der Regel kostengünstiger und einfacher zu installieren und zu warten als Kesselanlagen, da sie weniger Komponenten und weniger Rohrleitungen haben. Sie haben jedoch auch einige Nachteile, wie etwa einen geringeren Wirkungsgrad, einen höheren Geräuschpegel und eine schlechtere Luftqualität.</w:t>
      </w:r>
    </w:p>
    <w:p w14:paraId="07C743EE" w14:textId="2F0CB241" w:rsidR="010026F7" w:rsidRDefault="010026F7" w:rsidP="005E4F25">
      <w:pPr>
        <w:pStyle w:val="Heading1"/>
        <w:spacing w:line="264" w:lineRule="auto"/>
      </w:pPr>
      <w:r>
        <w:t>Überlegungen für die Umstellung von einer Kessel- auf eine Ofenanlage</w:t>
      </w:r>
    </w:p>
    <w:p w14:paraId="25EDC49A" w14:textId="6166B265" w:rsidR="010026F7" w:rsidRDefault="010026F7" w:rsidP="005E4F25">
      <w:pPr>
        <w:spacing w:line="264" w:lineRule="auto"/>
      </w:pPr>
      <w:r>
        <w:t>Die Umstellung von einer Kesselanlage auf eine Ofenanlage in einem Gewerbegebäude ist keine einfache Aufgabe, da sie mehrere Faktoren und Herausforderungen mit sich bringt. Zu den wichtigsten Überlegungen gehören:</w:t>
      </w:r>
    </w:p>
    <w:p w14:paraId="505B69B7" w14:textId="23F1E061" w:rsidR="010026F7" w:rsidRDefault="010026F7" w:rsidP="005E4F25">
      <w:pPr>
        <w:pStyle w:val="ListParagraph"/>
        <w:numPr>
          <w:ilvl w:val="0"/>
          <w:numId w:val="1"/>
        </w:numPr>
        <w:spacing w:line="264" w:lineRule="auto"/>
      </w:pPr>
      <w:r>
        <w:t>Die Größe und das Layout des Gebäudes Eine Kesselanlage benötigt weniger Platz als eine Ofenanlage, das sie keine Kanäle und Entlüftungen benötigt. Eine Ofenanlage hingegen erfordert ein großes Netz von Kanälen und Entlüftungsöffnungen, um die erwärmte Luft im gesamten Gebäude zu verteilen. Daher kann die Umstellung von einer Kessel- auf eine Ofenanlage erhebliche bauliche Veränderungen und Anpassungen am Gebäude erfordern, wie das Hinzufügen oder Entfernen von Wänden, Decken, Böden oder Fenstern.</w:t>
      </w:r>
    </w:p>
    <w:p w14:paraId="75265C3A" w14:textId="133BD01D" w:rsidR="010026F7" w:rsidRDefault="010026F7" w:rsidP="005E4F25">
      <w:pPr>
        <w:pStyle w:val="ListParagraph"/>
        <w:numPr>
          <w:ilvl w:val="0"/>
          <w:numId w:val="1"/>
        </w:numPr>
        <w:spacing w:line="264" w:lineRule="auto"/>
      </w:pPr>
      <w:r>
        <w:t>Das Alter und der Zustand des Gebäudes. Eine Kesselanlage ist besser für ältere und historische Gebäude geeignet, da sie die ursprüngliche Architektur und Ästhetik des Gebäudes bewahrt. Eine Ofenanlage hingegen kann das Erscheinungsbild und den Charakter des Gebäudes verändern, da sie Rohrleitungen und Entlüftungsöffnungen erfordert, die möglicherweise nicht zum Stil und Design des Gebäudes passen. Die Umstellung von einer Kessel- auf eine Ofenanlage erfordert daher eine sorgfältige Planung und Beratung mit den Gebäudeeigentümern, Verwaltern und Denkmalschützern.</w:t>
      </w:r>
    </w:p>
    <w:p w14:paraId="398B973E" w14:textId="34362E6E" w:rsidR="010026F7" w:rsidRDefault="010026F7" w:rsidP="005E4F25">
      <w:pPr>
        <w:pStyle w:val="ListParagraph"/>
        <w:numPr>
          <w:ilvl w:val="0"/>
          <w:numId w:val="1"/>
        </w:numPr>
        <w:spacing w:line="264" w:lineRule="auto"/>
      </w:pPr>
      <w:r>
        <w:t>Das Klima und das Wetter am Standort. Eine Kesselanlage ist in kälteren und feuchten Klimazonen effektiver, da sie im gesamten Gebäude für gleichmäßige Wärme und Feuchtigkeit sorgt. Eine Ofenanlage ist hingegen in wärmeren und trockeneren Klimazonen effektiver, da sie schneller und flexibler für Wärme und Belüftung im gesamten Gebäude sorgt. Daher kann es bei der Umstellung von einer Kessel- auf eine Ofenanlage erforderlich sein, die Thermostat- und Feuchtigkeitseinstellungen anzupassen, um optimalen Komfort und Effizienz zu gewährleisten.</w:t>
      </w:r>
    </w:p>
    <w:p w14:paraId="7A7C1F6C" w14:textId="14E62378" w:rsidR="010026F7" w:rsidRDefault="010026F7" w:rsidP="005E4F25">
      <w:pPr>
        <w:pStyle w:val="ListParagraph"/>
        <w:numPr>
          <w:ilvl w:val="0"/>
          <w:numId w:val="1"/>
        </w:numPr>
        <w:spacing w:line="264" w:lineRule="auto"/>
      </w:pPr>
      <w:r>
        <w:t xml:space="preserve">Die Energieeffizienz und die Umweltauswirkungen der Anlage. Eine Kesselanlage ist im Allgemeinen energieeffizienter und umweltfreundlicher als eine Ofenanlage, da </w:t>
      </w:r>
      <w:r>
        <w:lastRenderedPageBreak/>
        <w:t>sie weniger Brennstoff verbraucht und weniger Treibhausgase und Schadstoffe ausstößt. Eine Ofenanlage hingegen ist im Allgemeinen weniger energieeffizient und umweltfreundlich als eine Kesselanlage, da sie mehr Brennstoff verbraucht und mehr Treibhausgase und Schadstoffe ausstößt. Die Umstellung von einer Kessel- auf eine Ofenanlage kann daher die Installation zusätzlicher Isolierung, Abdichtung und Belüftung erfordern, um den Wärmeverlust zu verringern und die Luftqualität zu verbessern.</w:t>
      </w:r>
    </w:p>
    <w:p w14:paraId="6AB095F7" w14:textId="31200FC7" w:rsidR="010026F7" w:rsidRDefault="010026F7" w:rsidP="005E4F25">
      <w:pPr>
        <w:pStyle w:val="ListParagraph"/>
        <w:numPr>
          <w:ilvl w:val="0"/>
          <w:numId w:val="1"/>
        </w:numPr>
        <w:spacing w:line="264" w:lineRule="auto"/>
      </w:pPr>
      <w:r>
        <w:t>Die Kosten und die Durchführbarkeit des Übergangs. Eine Kesselanlage ist teurer und schwieriger zu installieren und zu warten als eine Ofenanlage, da sie mehr Komponenten und Rohrleitungen erfordert. Eine Ofenanlage hingegen ist weniger kostspielig und einfacher zu installieren und zu warten als eine Kesselanlage, da sie weniger Bauteile und Rohrleitungen erfordert. Daher kann die Umstellung von einer Kessel- auf eine Ofenanlage eine große Vorabinvestition und eine langfristige Verpflichtung erfordern, damit ein reibungsloser und erfolgreicher gewährleistet ist.</w:t>
      </w:r>
    </w:p>
    <w:p w14:paraId="3CA1D8F2" w14:textId="6083B984" w:rsidR="010026F7" w:rsidRDefault="010026F7" w:rsidP="005E4F25">
      <w:pPr>
        <w:pStyle w:val="Heading1"/>
        <w:spacing w:line="264" w:lineRule="auto"/>
      </w:pPr>
      <w:r>
        <w:t>Auswirkungen auf die Klimaanlage</w:t>
      </w:r>
    </w:p>
    <w:p w14:paraId="5517B261" w14:textId="2C512E57" w:rsidR="010026F7" w:rsidRDefault="010026F7" w:rsidP="005E4F25">
      <w:pPr>
        <w:spacing w:line="264" w:lineRule="auto"/>
      </w:pPr>
      <w:r>
        <w:t>Die Umstellung von einer Kesselanlage auf eine Ofenanlage in einem Gewerbegebäude kann sich auch auf die bestehende Klimaanlage auswirken, da die beiden Anlagen häufig miteinander verbunden und voneinander abhängig sind. Einige der möglichen Auswirkungen sind:</w:t>
      </w:r>
    </w:p>
    <w:p w14:paraId="40A17DFA" w14:textId="0DD2E3F9" w:rsidR="010026F7" w:rsidRDefault="010026F7" w:rsidP="005E4F25">
      <w:pPr>
        <w:pStyle w:val="ListParagraph"/>
        <w:numPr>
          <w:ilvl w:val="0"/>
          <w:numId w:val="1"/>
        </w:numPr>
        <w:spacing w:line="264" w:lineRule="auto"/>
      </w:pPr>
      <w:r>
        <w:t>Möglicherweise muss die Klimaanlage aufgerüstet oder ersetzt werden, um der Kapazität und Kompatibilität der Ofenanlage zu entsprechen. Eine Ofenanlage kann eine höhere oder niedrigere Kühllast haben als eine Kesselanlage, je nach Größe, Effizienz und Brennstoffart der Anlage. Daher muss die Klimaanlage möglicherweise angepasst oder ersetzt werden, um eine angemessene und ausgewogene Kühlung im gesamten Gebäude zu gewährleisten.</w:t>
      </w:r>
    </w:p>
    <w:p w14:paraId="078A2E5A" w14:textId="0E337742" w:rsidR="010026F7" w:rsidRPr="00C25A07" w:rsidRDefault="010026F7" w:rsidP="005E4F25">
      <w:pPr>
        <w:pStyle w:val="ListParagraph"/>
        <w:numPr>
          <w:ilvl w:val="0"/>
          <w:numId w:val="1"/>
        </w:numPr>
        <w:spacing w:line="264" w:lineRule="auto"/>
        <w:rPr>
          <w:spacing w:val="-4"/>
        </w:rPr>
      </w:pPr>
      <w:r w:rsidRPr="00C25A07">
        <w:rPr>
          <w:spacing w:val="-4"/>
        </w:rPr>
        <w:t>Möglicherweise muss die Klimaanlage aufgerüstet oder verlegt werden, um Platz für die Rohrleitungen und Entlüftungsöffnungen der Ofenanlage zu schaffen. Eine Ofenanlage kann mehr oder weniger Kanäle und Entlüftungsöffnungen erfordern als eine Kesselanlage, je nach Anordnung und Konstruktion des Gebäudes. Daher muss die Klimaanlage möglicherweise aufgerüstet oder verlegt werden, um Konflikten mit den Rohrleitungen und Entlüftungsöffnungen der Ofenanlage vorzubeugen.</w:t>
      </w:r>
    </w:p>
    <w:p w14:paraId="6810D636" w14:textId="097C203D" w:rsidR="010026F7" w:rsidRDefault="010026F7" w:rsidP="005E4F25">
      <w:pPr>
        <w:pStyle w:val="ListParagraph"/>
        <w:numPr>
          <w:ilvl w:val="0"/>
          <w:numId w:val="1"/>
        </w:numPr>
        <w:spacing w:line="264" w:lineRule="auto"/>
      </w:pPr>
      <w:r>
        <w:t>Um die Leistung und Effizienz beider Systeme zu optimieren, muss die Klimaanlage unter Umständen in die Ofenanlage integriert oder mit dieser koordiniert werden. Je nach Typ und Modell kann eine Ofenanlage eine andere oder ähnliche Steuerungs- und Betriebsweise haben wie eine Kesselanlage. Zur Gewährleistung von optimalem Komfort und optimaler Effizienz muss daher die Klimaanlage unter Umständen in die Feuerungsanlage integriert oder mit ihr koordiniert werden.</w:t>
      </w:r>
    </w:p>
    <w:p w14:paraId="62A2C025" w14:textId="350C9834" w:rsidR="010026F7" w:rsidRDefault="010026F7" w:rsidP="005E4F25">
      <w:pPr>
        <w:pStyle w:val="Heading1"/>
        <w:spacing w:line="264" w:lineRule="auto"/>
      </w:pPr>
      <w:r>
        <w:lastRenderedPageBreak/>
        <w:t>Durchschnittliche Fehlerraten und Wartungskosten</w:t>
      </w:r>
    </w:p>
    <w:p w14:paraId="1E2C62AA" w14:textId="5B07BF44" w:rsidR="010026F7" w:rsidRDefault="010026F7" w:rsidP="005E4F25">
      <w:pPr>
        <w:spacing w:line="264" w:lineRule="auto"/>
      </w:pPr>
      <w:r>
        <w:t>Ein weiterer Aspekt, der beim Vergleich von Kesselanlagen und Ofenanlagen in Gewerbegebäuden zu berücksichtigen ist, sind die durchschnittlichen Fehlerraten und Wartungskosten beider Systeme. Laut einer Studie des National Institute of Standards and Technology (NIST) sind die durchschnittlichen Fehlerraten und Wartungskosten von Kesselanlagen und Ofenanlagen in Gewerbegebäuden wie folgt:</w:t>
      </w:r>
    </w:p>
    <w:tbl>
      <w:tblPr>
        <w:tblStyle w:val="TableGrid"/>
        <w:tblW w:w="936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2060"/>
        <w:gridCol w:w="3330"/>
        <w:gridCol w:w="3970"/>
      </w:tblGrid>
      <w:tr w:rsidR="0B570431" w14:paraId="24906070" w14:textId="77777777" w:rsidTr="00F976F5">
        <w:trPr>
          <w:trHeight w:val="300"/>
        </w:trPr>
        <w:tc>
          <w:tcPr>
            <w:tcW w:w="2060" w:type="dxa"/>
            <w:shd w:val="clear" w:color="auto" w:fill="F5F5F5"/>
            <w:tcMar>
              <w:top w:w="60" w:type="dxa"/>
              <w:left w:w="60" w:type="dxa"/>
              <w:bottom w:w="60" w:type="dxa"/>
              <w:right w:w="60" w:type="dxa"/>
            </w:tcMar>
          </w:tcPr>
          <w:p w14:paraId="3513E28A" w14:textId="24299FAA" w:rsidR="0B570431" w:rsidRDefault="0B570431" w:rsidP="0B570431">
            <w:pPr>
              <w:rPr>
                <w:b/>
                <w:bCs/>
                <w:sz w:val="22"/>
                <w:szCs w:val="22"/>
              </w:rPr>
            </w:pPr>
            <w:r>
              <w:rPr>
                <w:b/>
                <w:sz w:val="22"/>
              </w:rPr>
              <w:t>Art der Anlage</w:t>
            </w:r>
          </w:p>
        </w:tc>
        <w:tc>
          <w:tcPr>
            <w:tcW w:w="3330" w:type="dxa"/>
            <w:shd w:val="clear" w:color="auto" w:fill="F5F5F5"/>
            <w:tcMar>
              <w:top w:w="60" w:type="dxa"/>
              <w:left w:w="60" w:type="dxa"/>
              <w:bottom w:w="60" w:type="dxa"/>
              <w:right w:w="60" w:type="dxa"/>
            </w:tcMar>
          </w:tcPr>
          <w:p w14:paraId="4A9112BE" w14:textId="28834EE1" w:rsidR="0B570431" w:rsidRDefault="0B570431" w:rsidP="0B570431">
            <w:pPr>
              <w:rPr>
                <w:b/>
                <w:bCs/>
                <w:sz w:val="22"/>
                <w:szCs w:val="22"/>
              </w:rPr>
            </w:pPr>
            <w:r>
              <w:rPr>
                <w:b/>
                <w:sz w:val="22"/>
              </w:rPr>
              <w:t>Durchschnittliche Fehlerrate</w:t>
            </w:r>
          </w:p>
        </w:tc>
        <w:tc>
          <w:tcPr>
            <w:tcW w:w="3970" w:type="dxa"/>
            <w:shd w:val="clear" w:color="auto" w:fill="F5F5F5"/>
            <w:tcMar>
              <w:top w:w="60" w:type="dxa"/>
              <w:left w:w="60" w:type="dxa"/>
              <w:bottom w:w="60" w:type="dxa"/>
              <w:right w:w="60" w:type="dxa"/>
            </w:tcMar>
          </w:tcPr>
          <w:p w14:paraId="2642F474" w14:textId="1E7FDB26" w:rsidR="0B570431" w:rsidRDefault="0B570431" w:rsidP="0B570431">
            <w:pPr>
              <w:rPr>
                <w:b/>
                <w:bCs/>
                <w:sz w:val="22"/>
                <w:szCs w:val="22"/>
              </w:rPr>
            </w:pPr>
            <w:r>
              <w:rPr>
                <w:b/>
                <w:sz w:val="22"/>
              </w:rPr>
              <w:t>Durchschnittliche Wartungskosten</w:t>
            </w:r>
          </w:p>
        </w:tc>
      </w:tr>
      <w:tr w:rsidR="0B570431" w14:paraId="0209C06A" w14:textId="77777777" w:rsidTr="00F976F5">
        <w:trPr>
          <w:trHeight w:val="300"/>
        </w:trPr>
        <w:tc>
          <w:tcPr>
            <w:tcW w:w="2060" w:type="dxa"/>
            <w:shd w:val="clear" w:color="auto" w:fill="FFFFFF" w:themeFill="background1"/>
            <w:tcMar>
              <w:top w:w="60" w:type="dxa"/>
              <w:left w:w="60" w:type="dxa"/>
              <w:bottom w:w="60" w:type="dxa"/>
              <w:right w:w="60" w:type="dxa"/>
            </w:tcMar>
          </w:tcPr>
          <w:p w14:paraId="4D70A214" w14:textId="385A8BD2" w:rsidR="0B570431" w:rsidRDefault="0B570431" w:rsidP="0B570431">
            <w:pPr>
              <w:rPr>
                <w:sz w:val="22"/>
                <w:szCs w:val="22"/>
              </w:rPr>
            </w:pPr>
            <w:r>
              <w:rPr>
                <w:sz w:val="22"/>
              </w:rPr>
              <w:t>Kesselanlage</w:t>
            </w:r>
          </w:p>
        </w:tc>
        <w:tc>
          <w:tcPr>
            <w:tcW w:w="3330" w:type="dxa"/>
            <w:shd w:val="clear" w:color="auto" w:fill="FFFFFF" w:themeFill="background1"/>
            <w:tcMar>
              <w:top w:w="60" w:type="dxa"/>
              <w:left w:w="60" w:type="dxa"/>
              <w:bottom w:w="60" w:type="dxa"/>
              <w:right w:w="60" w:type="dxa"/>
            </w:tcMar>
          </w:tcPr>
          <w:p w14:paraId="7680081B" w14:textId="472EC749" w:rsidR="0B570431" w:rsidRDefault="0B570431" w:rsidP="0B570431">
            <w:pPr>
              <w:rPr>
                <w:sz w:val="22"/>
                <w:szCs w:val="22"/>
              </w:rPr>
            </w:pPr>
            <w:r>
              <w:rPr>
                <w:sz w:val="22"/>
              </w:rPr>
              <w:t>3,2 %</w:t>
            </w:r>
          </w:p>
        </w:tc>
        <w:tc>
          <w:tcPr>
            <w:tcW w:w="3970" w:type="dxa"/>
            <w:shd w:val="clear" w:color="auto" w:fill="FFFFFF" w:themeFill="background1"/>
            <w:tcMar>
              <w:top w:w="60" w:type="dxa"/>
              <w:left w:w="60" w:type="dxa"/>
              <w:bottom w:w="60" w:type="dxa"/>
              <w:right w:w="60" w:type="dxa"/>
            </w:tcMar>
          </w:tcPr>
          <w:p w14:paraId="5309A9CD" w14:textId="6AA0152B" w:rsidR="0B570431" w:rsidRDefault="0B570431" w:rsidP="0B570431">
            <w:pPr>
              <w:rPr>
                <w:sz w:val="22"/>
                <w:szCs w:val="22"/>
              </w:rPr>
            </w:pPr>
            <w:r>
              <w:rPr>
                <w:sz w:val="22"/>
              </w:rPr>
              <w:t>0,27 $ pro Quadratfuß und Jahr</w:t>
            </w:r>
          </w:p>
        </w:tc>
      </w:tr>
      <w:tr w:rsidR="0B570431" w14:paraId="4C173A90" w14:textId="77777777" w:rsidTr="00F976F5">
        <w:trPr>
          <w:trHeight w:val="300"/>
        </w:trPr>
        <w:tc>
          <w:tcPr>
            <w:tcW w:w="2060" w:type="dxa"/>
            <w:shd w:val="clear" w:color="auto" w:fill="FFFFFF" w:themeFill="background1"/>
            <w:tcMar>
              <w:top w:w="60" w:type="dxa"/>
              <w:left w:w="60" w:type="dxa"/>
              <w:bottom w:w="60" w:type="dxa"/>
              <w:right w:w="60" w:type="dxa"/>
            </w:tcMar>
          </w:tcPr>
          <w:p w14:paraId="627D4FC2" w14:textId="6D3C80F7" w:rsidR="0B570431" w:rsidRDefault="0B570431" w:rsidP="0B570431">
            <w:pPr>
              <w:rPr>
                <w:sz w:val="22"/>
                <w:szCs w:val="22"/>
              </w:rPr>
            </w:pPr>
            <w:r>
              <w:rPr>
                <w:sz w:val="22"/>
              </w:rPr>
              <w:t>Ofenanlage</w:t>
            </w:r>
          </w:p>
        </w:tc>
        <w:tc>
          <w:tcPr>
            <w:tcW w:w="3330" w:type="dxa"/>
            <w:shd w:val="clear" w:color="auto" w:fill="FFFFFF" w:themeFill="background1"/>
            <w:tcMar>
              <w:top w:w="60" w:type="dxa"/>
              <w:left w:w="60" w:type="dxa"/>
              <w:bottom w:w="60" w:type="dxa"/>
              <w:right w:w="60" w:type="dxa"/>
            </w:tcMar>
          </w:tcPr>
          <w:p w14:paraId="22C1AE5C" w14:textId="12E20D72" w:rsidR="0B570431" w:rsidRDefault="0B570431" w:rsidP="0B570431">
            <w:pPr>
              <w:rPr>
                <w:sz w:val="22"/>
                <w:szCs w:val="22"/>
              </w:rPr>
            </w:pPr>
            <w:r>
              <w:rPr>
                <w:sz w:val="22"/>
              </w:rPr>
              <w:t>4,6 %</w:t>
            </w:r>
          </w:p>
        </w:tc>
        <w:tc>
          <w:tcPr>
            <w:tcW w:w="3970" w:type="dxa"/>
            <w:shd w:val="clear" w:color="auto" w:fill="FFFFFF" w:themeFill="background1"/>
            <w:tcMar>
              <w:top w:w="60" w:type="dxa"/>
              <w:left w:w="60" w:type="dxa"/>
              <w:bottom w:w="60" w:type="dxa"/>
              <w:right w:w="60" w:type="dxa"/>
            </w:tcMar>
          </w:tcPr>
          <w:p w14:paraId="50CA0E56" w14:textId="1966D8CE" w:rsidR="0B570431" w:rsidRDefault="0B570431" w:rsidP="0B570431">
            <w:pPr>
              <w:rPr>
                <w:sz w:val="22"/>
                <w:szCs w:val="22"/>
              </w:rPr>
            </w:pPr>
            <w:r>
              <w:rPr>
                <w:sz w:val="22"/>
              </w:rPr>
              <w:t>0,18 $ pro Quadratfuß und Jahr</w:t>
            </w:r>
          </w:p>
        </w:tc>
      </w:tr>
    </w:tbl>
    <w:p w14:paraId="17078AD4" w14:textId="42BC76AA" w:rsidR="0E305B96" w:rsidRDefault="0E305B96" w:rsidP="005E4F25">
      <w:pPr>
        <w:spacing w:line="264" w:lineRule="auto"/>
      </w:pPr>
      <w:r>
        <w:t>Die Studie ergab auch, dass die Hauptursachen für Defekte und Wartungsarbeiten bei beiden Anlagen Lecks, Korrosion, Verschleiß und unsachgemäße Installation oder Bedienung sind. Die Studie kam zu dem Schluss, dass Kessel- und Ofenanlagen ähnlich zuverlässig und langlebig sind, die Kesselanlagen jedoch höhere Wartungskosten und geringere Fehlerraten aufweisen als die Ofenanlagen.</w:t>
      </w:r>
    </w:p>
    <w:p w14:paraId="61D56FD2" w14:textId="0AF18F6C" w:rsidR="0E305B96" w:rsidRDefault="0E305B96" w:rsidP="005E4F25">
      <w:pPr>
        <w:pStyle w:val="Heading1"/>
        <w:spacing w:line="264" w:lineRule="auto"/>
      </w:pPr>
      <w:r>
        <w:t>Schlussfolgerung</w:t>
      </w:r>
    </w:p>
    <w:p w14:paraId="6E1AE4CC" w14:textId="6581B29E" w:rsidR="0E305B96" w:rsidRDefault="0E305B96" w:rsidP="005E4F25">
      <w:pPr>
        <w:spacing w:line="264" w:lineRule="auto"/>
      </w:pPr>
      <w:r>
        <w:t>Zusammenfassend lässt sich sagen, dass Kessel- und Ofenanlagen zwei gängige Arten von Heizsystemen sind, die in gewerblich genutzten Gebäuden eingesetzt werden. Beide Systeme haben ihre eigenen Vor- und Nachteile, und die Entscheidung für ein bestimmtes System hängt von verschiedenen Faktoren ab, z. B. von der Größe, dem Alter und der Bauweise des Gebäudes, dem Klima, der Energieeffizienz und dem Budget. Die Umstellung von einer Kesselanlage auf eine Ofenanlage in einem Gewerbegebäude ist keine einfache Aufgabe, da sie mehrere Faktoren und Herausforderungen mit sich bringt, wie z. B. die baulichen Veränderungen, die ästhetischen Auswirkungen, die Anpassungen in Bezug auf Komfort und Effizienz, die Vorabinvestitionen und die langfristige Verpflichtung. Die Umstellung von einer Kesselanlage auf eine Ofenanlage kann sich auch auf die bestehende Klimaanlage auswirken, da die beiden Anlagen häufig miteinander verbunden und voneinander abhängig sind. Die durchschnittlichen Fehlerraten und Wartungskosten beider Anlagen sind ähnlich, aber die Kesselanlagen haben höhere Wartungskosten und niedrigere Fehlerraten als die Ofenanlagen.</w:t>
      </w:r>
    </w:p>
    <w:p w14:paraId="1E36C24C" w14:textId="7D8697B6" w:rsidR="0B570431" w:rsidRDefault="0B570431" w:rsidP="0B570431"/>
    <w:sectPr w:rsidR="0B57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C2E4"/>
    <w:multiLevelType w:val="hybridMultilevel"/>
    <w:tmpl w:val="487E66F8"/>
    <w:lvl w:ilvl="0" w:tplc="BBC4D00A">
      <w:start w:val="1"/>
      <w:numFmt w:val="bullet"/>
      <w:lvlText w:val=""/>
      <w:lvlJc w:val="left"/>
      <w:pPr>
        <w:ind w:left="720" w:hanging="360"/>
      </w:pPr>
      <w:rPr>
        <w:rFonts w:ascii="Symbol" w:hAnsi="Symbol" w:hint="default"/>
      </w:rPr>
    </w:lvl>
    <w:lvl w:ilvl="1" w:tplc="9C2A5CEA">
      <w:start w:val="1"/>
      <w:numFmt w:val="bullet"/>
      <w:lvlText w:val="o"/>
      <w:lvlJc w:val="left"/>
      <w:pPr>
        <w:ind w:left="1440" w:hanging="360"/>
      </w:pPr>
      <w:rPr>
        <w:rFonts w:ascii="Courier New" w:hAnsi="Courier New" w:hint="default"/>
      </w:rPr>
    </w:lvl>
    <w:lvl w:ilvl="2" w:tplc="119C0540">
      <w:start w:val="1"/>
      <w:numFmt w:val="bullet"/>
      <w:lvlText w:val=""/>
      <w:lvlJc w:val="left"/>
      <w:pPr>
        <w:ind w:left="2160" w:hanging="360"/>
      </w:pPr>
      <w:rPr>
        <w:rFonts w:ascii="Wingdings" w:hAnsi="Wingdings" w:hint="default"/>
      </w:rPr>
    </w:lvl>
    <w:lvl w:ilvl="3" w:tplc="CE564CAE">
      <w:start w:val="1"/>
      <w:numFmt w:val="bullet"/>
      <w:lvlText w:val=""/>
      <w:lvlJc w:val="left"/>
      <w:pPr>
        <w:ind w:left="2880" w:hanging="360"/>
      </w:pPr>
      <w:rPr>
        <w:rFonts w:ascii="Symbol" w:hAnsi="Symbol" w:hint="default"/>
      </w:rPr>
    </w:lvl>
    <w:lvl w:ilvl="4" w:tplc="FE3CFA78">
      <w:start w:val="1"/>
      <w:numFmt w:val="bullet"/>
      <w:lvlText w:val="o"/>
      <w:lvlJc w:val="left"/>
      <w:pPr>
        <w:ind w:left="3600" w:hanging="360"/>
      </w:pPr>
      <w:rPr>
        <w:rFonts w:ascii="Courier New" w:hAnsi="Courier New" w:hint="default"/>
      </w:rPr>
    </w:lvl>
    <w:lvl w:ilvl="5" w:tplc="53E61FBC">
      <w:start w:val="1"/>
      <w:numFmt w:val="bullet"/>
      <w:lvlText w:val=""/>
      <w:lvlJc w:val="left"/>
      <w:pPr>
        <w:ind w:left="4320" w:hanging="360"/>
      </w:pPr>
      <w:rPr>
        <w:rFonts w:ascii="Wingdings" w:hAnsi="Wingdings" w:hint="default"/>
      </w:rPr>
    </w:lvl>
    <w:lvl w:ilvl="6" w:tplc="E714AC02">
      <w:start w:val="1"/>
      <w:numFmt w:val="bullet"/>
      <w:lvlText w:val=""/>
      <w:lvlJc w:val="left"/>
      <w:pPr>
        <w:ind w:left="5040" w:hanging="360"/>
      </w:pPr>
      <w:rPr>
        <w:rFonts w:ascii="Symbol" w:hAnsi="Symbol" w:hint="default"/>
      </w:rPr>
    </w:lvl>
    <w:lvl w:ilvl="7" w:tplc="575A6EE4">
      <w:start w:val="1"/>
      <w:numFmt w:val="bullet"/>
      <w:lvlText w:val="o"/>
      <w:lvlJc w:val="left"/>
      <w:pPr>
        <w:ind w:left="5760" w:hanging="360"/>
      </w:pPr>
      <w:rPr>
        <w:rFonts w:ascii="Courier New" w:hAnsi="Courier New" w:hint="default"/>
      </w:rPr>
    </w:lvl>
    <w:lvl w:ilvl="8" w:tplc="BFACC47E">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EABCC11C"/>
    <w:lvl w:ilvl="0" w:tplc="0400E3AE">
      <w:start w:val="1"/>
      <w:numFmt w:val="bullet"/>
      <w:lvlText w:val=""/>
      <w:lvlJc w:val="left"/>
      <w:pPr>
        <w:ind w:left="720" w:hanging="360"/>
      </w:pPr>
      <w:rPr>
        <w:rFonts w:ascii="Symbol" w:hAnsi="Symbol" w:hint="default"/>
      </w:rPr>
    </w:lvl>
    <w:lvl w:ilvl="1" w:tplc="2F5C44B8">
      <w:start w:val="1"/>
      <w:numFmt w:val="bullet"/>
      <w:lvlText w:val="o"/>
      <w:lvlJc w:val="left"/>
      <w:pPr>
        <w:ind w:left="1440" w:hanging="360"/>
      </w:pPr>
      <w:rPr>
        <w:rFonts w:ascii="Courier New" w:hAnsi="Courier New" w:hint="default"/>
      </w:rPr>
    </w:lvl>
    <w:lvl w:ilvl="2" w:tplc="A54E0BFE">
      <w:start w:val="1"/>
      <w:numFmt w:val="bullet"/>
      <w:lvlText w:val=""/>
      <w:lvlJc w:val="left"/>
      <w:pPr>
        <w:ind w:left="2160" w:hanging="360"/>
      </w:pPr>
      <w:rPr>
        <w:rFonts w:ascii="Wingdings" w:hAnsi="Wingdings" w:hint="default"/>
      </w:rPr>
    </w:lvl>
    <w:lvl w:ilvl="3" w:tplc="4A449428">
      <w:start w:val="1"/>
      <w:numFmt w:val="bullet"/>
      <w:lvlText w:val=""/>
      <w:lvlJc w:val="left"/>
      <w:pPr>
        <w:ind w:left="2880" w:hanging="360"/>
      </w:pPr>
      <w:rPr>
        <w:rFonts w:ascii="Symbol" w:hAnsi="Symbol" w:hint="default"/>
      </w:rPr>
    </w:lvl>
    <w:lvl w:ilvl="4" w:tplc="5DDE98F4">
      <w:start w:val="1"/>
      <w:numFmt w:val="bullet"/>
      <w:lvlText w:val="o"/>
      <w:lvlJc w:val="left"/>
      <w:pPr>
        <w:ind w:left="3600" w:hanging="360"/>
      </w:pPr>
      <w:rPr>
        <w:rFonts w:ascii="Courier New" w:hAnsi="Courier New" w:hint="default"/>
      </w:rPr>
    </w:lvl>
    <w:lvl w:ilvl="5" w:tplc="41C6D740">
      <w:start w:val="1"/>
      <w:numFmt w:val="bullet"/>
      <w:lvlText w:val=""/>
      <w:lvlJc w:val="left"/>
      <w:pPr>
        <w:ind w:left="4320" w:hanging="360"/>
      </w:pPr>
      <w:rPr>
        <w:rFonts w:ascii="Wingdings" w:hAnsi="Wingdings" w:hint="default"/>
      </w:rPr>
    </w:lvl>
    <w:lvl w:ilvl="6" w:tplc="3244B800">
      <w:start w:val="1"/>
      <w:numFmt w:val="bullet"/>
      <w:lvlText w:val=""/>
      <w:lvlJc w:val="left"/>
      <w:pPr>
        <w:ind w:left="5040" w:hanging="360"/>
      </w:pPr>
      <w:rPr>
        <w:rFonts w:ascii="Symbol" w:hAnsi="Symbol" w:hint="default"/>
      </w:rPr>
    </w:lvl>
    <w:lvl w:ilvl="7" w:tplc="6B4E2150">
      <w:start w:val="1"/>
      <w:numFmt w:val="bullet"/>
      <w:lvlText w:val="o"/>
      <w:lvlJc w:val="left"/>
      <w:pPr>
        <w:ind w:left="5760" w:hanging="360"/>
      </w:pPr>
      <w:rPr>
        <w:rFonts w:ascii="Courier New" w:hAnsi="Courier New" w:hint="default"/>
      </w:rPr>
    </w:lvl>
    <w:lvl w:ilvl="8" w:tplc="807A3FBA">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8E0E3042"/>
    <w:lvl w:ilvl="0" w:tplc="C1FC77C8">
      <w:start w:val="1"/>
      <w:numFmt w:val="bullet"/>
      <w:lvlText w:val=""/>
      <w:lvlJc w:val="left"/>
      <w:pPr>
        <w:ind w:left="720" w:hanging="360"/>
      </w:pPr>
      <w:rPr>
        <w:rFonts w:ascii="Symbol" w:hAnsi="Symbol" w:hint="default"/>
      </w:rPr>
    </w:lvl>
    <w:lvl w:ilvl="1" w:tplc="A9722D96">
      <w:start w:val="1"/>
      <w:numFmt w:val="bullet"/>
      <w:lvlText w:val="o"/>
      <w:lvlJc w:val="left"/>
      <w:pPr>
        <w:ind w:left="1440" w:hanging="360"/>
      </w:pPr>
      <w:rPr>
        <w:rFonts w:ascii="Courier New" w:hAnsi="Courier New" w:hint="default"/>
      </w:rPr>
    </w:lvl>
    <w:lvl w:ilvl="2" w:tplc="4B9AE2B6">
      <w:start w:val="1"/>
      <w:numFmt w:val="bullet"/>
      <w:lvlText w:val=""/>
      <w:lvlJc w:val="left"/>
      <w:pPr>
        <w:ind w:left="2160" w:hanging="360"/>
      </w:pPr>
      <w:rPr>
        <w:rFonts w:ascii="Wingdings" w:hAnsi="Wingdings" w:hint="default"/>
      </w:rPr>
    </w:lvl>
    <w:lvl w:ilvl="3" w:tplc="1F4285E0">
      <w:start w:val="1"/>
      <w:numFmt w:val="bullet"/>
      <w:lvlText w:val=""/>
      <w:lvlJc w:val="left"/>
      <w:pPr>
        <w:ind w:left="2880" w:hanging="360"/>
      </w:pPr>
      <w:rPr>
        <w:rFonts w:ascii="Symbol" w:hAnsi="Symbol" w:hint="default"/>
      </w:rPr>
    </w:lvl>
    <w:lvl w:ilvl="4" w:tplc="5C7698C4">
      <w:start w:val="1"/>
      <w:numFmt w:val="bullet"/>
      <w:lvlText w:val="o"/>
      <w:lvlJc w:val="left"/>
      <w:pPr>
        <w:ind w:left="3600" w:hanging="360"/>
      </w:pPr>
      <w:rPr>
        <w:rFonts w:ascii="Courier New" w:hAnsi="Courier New" w:hint="default"/>
      </w:rPr>
    </w:lvl>
    <w:lvl w:ilvl="5" w:tplc="1AE656EA">
      <w:start w:val="1"/>
      <w:numFmt w:val="bullet"/>
      <w:lvlText w:val=""/>
      <w:lvlJc w:val="left"/>
      <w:pPr>
        <w:ind w:left="4320" w:hanging="360"/>
      </w:pPr>
      <w:rPr>
        <w:rFonts w:ascii="Wingdings" w:hAnsi="Wingdings" w:hint="default"/>
      </w:rPr>
    </w:lvl>
    <w:lvl w:ilvl="6" w:tplc="DE0AB3C2">
      <w:start w:val="1"/>
      <w:numFmt w:val="bullet"/>
      <w:lvlText w:val=""/>
      <w:lvlJc w:val="left"/>
      <w:pPr>
        <w:ind w:left="5040" w:hanging="360"/>
      </w:pPr>
      <w:rPr>
        <w:rFonts w:ascii="Symbol" w:hAnsi="Symbol" w:hint="default"/>
      </w:rPr>
    </w:lvl>
    <w:lvl w:ilvl="7" w:tplc="8958667A">
      <w:start w:val="1"/>
      <w:numFmt w:val="bullet"/>
      <w:lvlText w:val="o"/>
      <w:lvlJc w:val="left"/>
      <w:pPr>
        <w:ind w:left="5760" w:hanging="360"/>
      </w:pPr>
      <w:rPr>
        <w:rFonts w:ascii="Courier New" w:hAnsi="Courier New" w:hint="default"/>
      </w:rPr>
    </w:lvl>
    <w:lvl w:ilvl="8" w:tplc="DA70B824">
      <w:start w:val="1"/>
      <w:numFmt w:val="bullet"/>
      <w:lvlText w:val=""/>
      <w:lvlJc w:val="left"/>
      <w:pPr>
        <w:ind w:left="6480" w:hanging="360"/>
      </w:pPr>
      <w:rPr>
        <w:rFonts w:ascii="Wingdings" w:hAnsi="Wingdings" w:hint="default"/>
      </w:rPr>
    </w:lvl>
  </w:abstractNum>
  <w:num w:numId="1" w16cid:durableId="1331953709">
    <w:abstractNumId w:val="2"/>
  </w:num>
  <w:num w:numId="2" w16cid:durableId="233441036">
    <w:abstractNumId w:val="1"/>
  </w:num>
  <w:num w:numId="3" w16cid:durableId="54954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5E4F25"/>
    <w:rsid w:val="00801C32"/>
    <w:rsid w:val="00C25A07"/>
    <w:rsid w:val="00F976F5"/>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Linh Nguyen Khanh</cp:lastModifiedBy>
  <cp:revision>5</cp:revision>
  <dcterms:created xsi:type="dcterms:W3CDTF">2024-02-02T15:52:00Z</dcterms:created>
  <dcterms:modified xsi:type="dcterms:W3CDTF">2024-05-16T03:05:00Z</dcterms:modified>
</cp:coreProperties>
</file>