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Kampagnenbesitzer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Startdatum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Umsatzerlös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Angesprochene Benutzerinnen und Benutzer insgesamt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Aktive Benutzerinnen und Benutzer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Tage seit dem Start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27. Jan.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4.732 $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2.750 $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5.800 $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8.703 $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2\.500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9.293 $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16.342 $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5\.278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635 $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2.208 $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Durchschnitt des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Diagrammtyp: Gruppierte Balken. „ROI“ nach „Kampagnentyp“&#10;&#10;Beschreibung automatisch generiert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Gesamtumsatz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16.342 $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13.435 $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9.293 $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2.208 $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77.453 $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Diagrammtyp: Gruppierte Balken. „Umsatz“ nach „Kampagnenname“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Diagrammtyp: Linie. „Budget“ durch „Startdatum“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Diagrammtyp: Gruppierte Balken. „Tage seit dem Start“: 375 hat deutlich höhere „engagierte Benutzerinnen und Benutzer“.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Diagrammtyp: Ring. „Kampagnentyp“: Digitales Marketing macht den Großteil des „Umsatzes“ aus.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Diagrammtyp: Gruppierte Balken. „Angesprochene Benutzende insgesamt“ nach „Kampagnentyp“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Diagrammtyp: Gestapelte Balken. „Kampagnenname“: Targeting-Gruppe 1 und große Billboards haben ein deutlich höheres „Budget“.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Diagrammtyp: Histogramm. Frequenz von „Umsatz“&#10;&#10;Beschreibung automatisch generiert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Diagrammtyp: Histogramm. Frequenz von „Umsatz“&#10;&#10;Beschreibung automatisch generiert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